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083" w:rsidRDefault="00435083" w:rsidP="00E90D6D">
      <w:pPr>
        <w:rPr>
          <w:rFonts w:ascii="Calibri-Bold" w:hAnsi="Calibri-Bold" w:cs="Calibri-Bold"/>
          <w:b/>
          <w:bCs/>
          <w:color w:val="000000"/>
          <w:lang w:val="fi-FI"/>
        </w:rPr>
      </w:pPr>
    </w:p>
    <w:p w:rsidR="00435083" w:rsidRDefault="00435083" w:rsidP="00E90D6D">
      <w:pPr>
        <w:rPr>
          <w:rFonts w:ascii="Calibri-Bold" w:hAnsi="Calibri-Bold" w:cs="Calibri-Bold"/>
          <w:b/>
          <w:bCs/>
          <w:color w:val="000000"/>
          <w:lang w:val="fi-FI"/>
        </w:rPr>
      </w:pPr>
    </w:p>
    <w:p w:rsidR="00E90D6D" w:rsidRDefault="001214BA" w:rsidP="00E90D6D">
      <w:pPr>
        <w:rPr>
          <w:rFonts w:ascii="Calibri-Bold" w:hAnsi="Calibri-Bold" w:cs="Calibri-Bold"/>
          <w:b/>
          <w:bCs/>
          <w:color w:val="000000"/>
          <w:lang w:val="fi-FI"/>
        </w:rPr>
      </w:pPr>
      <w:r>
        <w:rPr>
          <w:rFonts w:ascii="Calibri-Bold" w:hAnsi="Calibri-Bold" w:cs="Calibri-Bold"/>
          <w:b/>
          <w:bCs/>
          <w:color w:val="000000"/>
          <w:lang w:val="fi-FI"/>
        </w:rPr>
        <w:t xml:space="preserve">Data </w:t>
      </w:r>
      <w:proofErr w:type="spellStart"/>
      <w:r>
        <w:rPr>
          <w:rFonts w:ascii="Calibri-Bold" w:hAnsi="Calibri-Bold" w:cs="Calibri-Bold"/>
          <w:b/>
          <w:bCs/>
          <w:color w:val="000000"/>
          <w:lang w:val="fi-FI"/>
        </w:rPr>
        <w:t>Protection</w:t>
      </w:r>
      <w:proofErr w:type="spellEnd"/>
      <w:r>
        <w:rPr>
          <w:rFonts w:ascii="Calibri-Bold" w:hAnsi="Calibri-Bold" w:cs="Calibri-Bold"/>
          <w:b/>
          <w:bCs/>
          <w:color w:val="000000"/>
          <w:lang w:val="fi-FI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lang w:val="fi-FI"/>
        </w:rPr>
        <w:t>Information</w:t>
      </w:r>
      <w:proofErr w:type="spellEnd"/>
      <w:r>
        <w:rPr>
          <w:rFonts w:ascii="Calibri-Bold" w:hAnsi="Calibri-Bold" w:cs="Calibri-Bold"/>
          <w:b/>
          <w:bCs/>
          <w:color w:val="000000"/>
          <w:lang w:val="fi-FI"/>
        </w:rPr>
        <w:tab/>
      </w:r>
      <w:r>
        <w:rPr>
          <w:rFonts w:ascii="Calibri-Bold" w:hAnsi="Calibri-Bold" w:cs="Calibri-Bold"/>
          <w:b/>
          <w:bCs/>
          <w:color w:val="000000"/>
          <w:lang w:val="fi-FI"/>
        </w:rPr>
        <w:tab/>
      </w:r>
      <w:r>
        <w:rPr>
          <w:rFonts w:ascii="Calibri-Bold" w:hAnsi="Calibri-Bold" w:cs="Calibri-Bold"/>
          <w:b/>
          <w:bCs/>
          <w:color w:val="000000"/>
          <w:lang w:val="fi-FI"/>
        </w:rPr>
        <w:tab/>
      </w:r>
      <w:r>
        <w:rPr>
          <w:rFonts w:ascii="Calibri-Bold" w:hAnsi="Calibri-Bold" w:cs="Calibri-Bold"/>
          <w:b/>
          <w:bCs/>
          <w:color w:val="000000"/>
          <w:lang w:val="fi-FI"/>
        </w:rPr>
        <w:tab/>
        <w:t xml:space="preserve">                                Public</w:t>
      </w:r>
    </w:p>
    <w:p w:rsidR="00E90D6D" w:rsidRDefault="00E90D6D" w:rsidP="00213EEA">
      <w:pPr>
        <w:ind w:left="920"/>
        <w:rPr>
          <w:rFonts w:ascii="Calibri-Bold" w:hAnsi="Calibri-Bold" w:cs="Calibri-Bold"/>
          <w:b/>
          <w:bCs/>
          <w:color w:val="000000"/>
          <w:lang w:val="fi-FI"/>
        </w:rPr>
      </w:pPr>
      <w:r w:rsidRPr="00A543A4">
        <w:rPr>
          <w:rFonts w:ascii="Calibri-Bold" w:hAnsi="Calibri-Bold" w:cs="Calibri-Bold"/>
          <w:b/>
          <w:bCs/>
          <w:color w:val="000000"/>
          <w:lang w:val="fi-FI"/>
        </w:rPr>
        <w:t xml:space="preserve"> </w:t>
      </w:r>
    </w:p>
    <w:tbl>
      <w:tblPr>
        <w:tblStyle w:val="TableGrid"/>
        <w:tblpPr w:leftFromText="141" w:rightFromText="141" w:vertAnchor="page" w:horzAnchor="margin" w:tblpY="3691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213EEA" w:rsidRPr="00E90D6D" w:rsidTr="00213EEA">
        <w:tc>
          <w:tcPr>
            <w:tcW w:w="2405" w:type="dxa"/>
          </w:tcPr>
          <w:p w:rsidR="00213EEA" w:rsidRPr="00D34A55" w:rsidRDefault="00213EEA" w:rsidP="00213EEA">
            <w:pPr>
              <w:rPr>
                <w:b/>
                <w:lang w:val="fi-FI"/>
              </w:rPr>
            </w:pPr>
            <w:proofErr w:type="spellStart"/>
            <w:r>
              <w:rPr>
                <w:b/>
                <w:lang w:val="fi-FI"/>
              </w:rPr>
              <w:t>Name</w:t>
            </w:r>
            <w:proofErr w:type="spellEnd"/>
            <w:r>
              <w:rPr>
                <w:b/>
                <w:lang w:val="fi-FI"/>
              </w:rPr>
              <w:t xml:space="preserve"> of </w:t>
            </w:r>
            <w:proofErr w:type="spellStart"/>
            <w:r>
              <w:rPr>
                <w:b/>
                <w:lang w:val="fi-FI"/>
              </w:rPr>
              <w:t>the</w:t>
            </w:r>
            <w:proofErr w:type="spellEnd"/>
            <w:r>
              <w:rPr>
                <w:b/>
                <w:lang w:val="fi-FI"/>
              </w:rPr>
              <w:t xml:space="preserve"> </w:t>
            </w:r>
            <w:proofErr w:type="spellStart"/>
            <w:r>
              <w:rPr>
                <w:b/>
                <w:lang w:val="fi-FI"/>
              </w:rPr>
              <w:t>register</w:t>
            </w:r>
            <w:proofErr w:type="spellEnd"/>
          </w:p>
        </w:tc>
        <w:tc>
          <w:tcPr>
            <w:tcW w:w="6611" w:type="dxa"/>
          </w:tcPr>
          <w:p w:rsidR="00213EEA" w:rsidRPr="00A63A39" w:rsidRDefault="00213EEA" w:rsidP="00213EEA">
            <w:r w:rsidRPr="00A63A39">
              <w:t>Data of the Blu</w:t>
            </w:r>
            <w:r>
              <w:t>e</w:t>
            </w:r>
            <w:r w:rsidRPr="00A63A39">
              <w:t xml:space="preserve"> Collar workers-research project </w:t>
            </w:r>
          </w:p>
        </w:tc>
      </w:tr>
      <w:tr w:rsidR="00213EEA" w:rsidRPr="00E90D6D" w:rsidTr="00213EEA">
        <w:tc>
          <w:tcPr>
            <w:tcW w:w="2405" w:type="dxa"/>
          </w:tcPr>
          <w:p w:rsidR="00213EEA" w:rsidRPr="00D34A55" w:rsidRDefault="00213EEA" w:rsidP="00213EEA">
            <w:pPr>
              <w:rPr>
                <w:b/>
                <w:lang w:val="fi-FI"/>
              </w:rPr>
            </w:pPr>
            <w:proofErr w:type="spellStart"/>
            <w:r>
              <w:rPr>
                <w:b/>
                <w:lang w:val="fi-FI"/>
              </w:rPr>
              <w:t>Date</w:t>
            </w:r>
            <w:proofErr w:type="spellEnd"/>
          </w:p>
        </w:tc>
        <w:tc>
          <w:tcPr>
            <w:tcW w:w="6611" w:type="dxa"/>
          </w:tcPr>
          <w:p w:rsidR="00213EEA" w:rsidRPr="00E90D6D" w:rsidRDefault="00213EEA" w:rsidP="00213EEA">
            <w:pPr>
              <w:rPr>
                <w:lang w:val="fi-FI"/>
              </w:rPr>
            </w:pPr>
            <w:r>
              <w:rPr>
                <w:rFonts w:ascii="Calibri" w:hAnsi="Calibri" w:cs="Calibri"/>
                <w:color w:val="000000"/>
              </w:rPr>
              <w:t>1.1</w:t>
            </w:r>
            <w:r>
              <w:rPr>
                <w:rFonts w:ascii="Calibri" w:hAnsi="Calibri" w:cs="Calibri"/>
                <w:color w:val="000000"/>
                <w:spacing w:val="-2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2020  </w:t>
            </w:r>
          </w:p>
        </w:tc>
      </w:tr>
      <w:tr w:rsidR="00213EEA" w:rsidRPr="006B6997" w:rsidTr="00213EEA">
        <w:tc>
          <w:tcPr>
            <w:tcW w:w="2405" w:type="dxa"/>
          </w:tcPr>
          <w:p w:rsidR="002F3340" w:rsidRPr="002F3340" w:rsidRDefault="002F3340" w:rsidP="00213EEA">
            <w:pPr>
              <w:rPr>
                <w:b/>
              </w:rPr>
            </w:pPr>
            <w:r w:rsidRPr="00C40C24">
              <w:rPr>
                <w:b/>
              </w:rPr>
              <w:t>Handlers of the personal data</w:t>
            </w:r>
          </w:p>
        </w:tc>
        <w:tc>
          <w:tcPr>
            <w:tcW w:w="6611" w:type="dxa"/>
          </w:tcPr>
          <w:p w:rsidR="00213EEA" w:rsidRPr="00A63A39" w:rsidRDefault="00213EEA" w:rsidP="00213EEA">
            <w:r w:rsidRPr="00A63A39">
              <w:t xml:space="preserve">Personal data will be handled by  </w:t>
            </w:r>
          </w:p>
          <w:p w:rsidR="00213EEA" w:rsidRPr="006B6997" w:rsidRDefault="00213EEA" w:rsidP="00213EEA">
            <w:r w:rsidRPr="006B6997">
              <w:t>project coordinator Tiina Saari (</w:t>
            </w:r>
            <w:hyperlink r:id="rId4" w:history="1">
              <w:r w:rsidRPr="006B6997">
                <w:rPr>
                  <w:rStyle w:val="Hyperlink"/>
                </w:rPr>
                <w:t>tiina.saari@tuni.fi</w:t>
              </w:r>
            </w:hyperlink>
            <w:r w:rsidRPr="006B6997">
              <w:t>),</w:t>
            </w:r>
          </w:p>
          <w:p w:rsidR="00213EEA" w:rsidRPr="006B6997" w:rsidRDefault="00213EEA" w:rsidP="00213EEA">
            <w:r w:rsidRPr="006B6997">
              <w:t xml:space="preserve">Work Research </w:t>
            </w:r>
            <w:proofErr w:type="spellStart"/>
            <w:r w:rsidRPr="006B6997">
              <w:t>centre</w:t>
            </w:r>
            <w:proofErr w:type="spellEnd"/>
            <w:r w:rsidRPr="006B6997">
              <w:t xml:space="preserve">, Tampere University </w:t>
            </w:r>
          </w:p>
          <w:p w:rsidR="00213EEA" w:rsidRPr="002F3340" w:rsidRDefault="00213EEA" w:rsidP="00213EEA">
            <w:r w:rsidRPr="002F3340">
              <w:t>Tuija Koivunen (</w:t>
            </w:r>
            <w:hyperlink r:id="rId5" w:history="1">
              <w:r w:rsidRPr="002F3340">
                <w:rPr>
                  <w:rStyle w:val="Hyperlink"/>
                </w:rPr>
                <w:t>tuija.koivunen@tuni.fi</w:t>
              </w:r>
            </w:hyperlink>
            <w:r w:rsidRPr="002F3340">
              <w:t xml:space="preserve">), </w:t>
            </w:r>
          </w:p>
          <w:p w:rsidR="00213EEA" w:rsidRPr="006B6997" w:rsidRDefault="00213EEA" w:rsidP="00213EEA">
            <w:pPr>
              <w:rPr>
                <w:rFonts w:ascii="Calibri" w:hAnsi="Calibri" w:cs="Calibri"/>
                <w:color w:val="000000"/>
              </w:rPr>
            </w:pPr>
            <w:r w:rsidRPr="006B6997">
              <w:t xml:space="preserve">Work Research </w:t>
            </w:r>
            <w:proofErr w:type="spellStart"/>
            <w:r w:rsidRPr="006B6997">
              <w:t>centre</w:t>
            </w:r>
            <w:proofErr w:type="spellEnd"/>
            <w:r w:rsidRPr="006B6997">
              <w:t>, Tampere University</w:t>
            </w:r>
          </w:p>
        </w:tc>
      </w:tr>
      <w:tr w:rsidR="00213EEA" w:rsidRPr="00E90D6D" w:rsidTr="00213EEA">
        <w:trPr>
          <w:trHeight w:val="1482"/>
        </w:trPr>
        <w:tc>
          <w:tcPr>
            <w:tcW w:w="2405" w:type="dxa"/>
          </w:tcPr>
          <w:p w:rsidR="00213EEA" w:rsidRPr="006B6997" w:rsidRDefault="00213EEA" w:rsidP="00213EEA">
            <w:pPr>
              <w:rPr>
                <w:rFonts w:ascii="Times New Roman" w:hAnsi="Times New Roman" w:cs="Times New Roman"/>
                <w:color w:val="010302"/>
                <w:lang w:val="sv-SE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lang w:val="sv-SE"/>
              </w:rPr>
              <w:t>Data controller</w:t>
            </w:r>
          </w:p>
        </w:tc>
        <w:tc>
          <w:tcPr>
            <w:tcW w:w="6611" w:type="dxa"/>
          </w:tcPr>
          <w:p w:rsidR="00213EEA" w:rsidRPr="002F3340" w:rsidRDefault="00213EEA" w:rsidP="00213EEA">
            <w:pPr>
              <w:spacing w:line="267" w:lineRule="exact"/>
              <w:ind w:right="674"/>
              <w:rPr>
                <w:rFonts w:ascii="Calibri" w:hAnsi="Calibri" w:cs="Calibri"/>
                <w:color w:val="000000"/>
              </w:rPr>
            </w:pPr>
            <w:r w:rsidRPr="002F3340">
              <w:rPr>
                <w:rFonts w:ascii="Calibri" w:hAnsi="Calibri" w:cs="Calibri"/>
                <w:color w:val="000000"/>
              </w:rPr>
              <w:t>Tampere Universities foundation</w:t>
            </w:r>
          </w:p>
          <w:p w:rsidR="00213EEA" w:rsidRPr="002F3340" w:rsidRDefault="00213EEA" w:rsidP="00213EEA">
            <w:pPr>
              <w:spacing w:line="267" w:lineRule="exact"/>
              <w:ind w:right="674"/>
              <w:rPr>
                <w:rFonts w:ascii="Calibri" w:hAnsi="Calibri" w:cs="Calibri"/>
                <w:color w:val="000000"/>
              </w:rPr>
            </w:pPr>
            <w:proofErr w:type="spellStart"/>
            <w:r w:rsidRPr="002F3340">
              <w:rPr>
                <w:rFonts w:ascii="Calibri" w:hAnsi="Calibri" w:cs="Calibri"/>
                <w:color w:val="000000"/>
              </w:rPr>
              <w:t>Kalevantie</w:t>
            </w:r>
            <w:proofErr w:type="spellEnd"/>
            <w:r w:rsidRPr="002F3340">
              <w:rPr>
                <w:rFonts w:ascii="Calibri" w:hAnsi="Calibri" w:cs="Calibri"/>
                <w:color w:val="000000"/>
              </w:rPr>
              <w:t xml:space="preserve"> 4</w:t>
            </w:r>
          </w:p>
          <w:p w:rsidR="00213EEA" w:rsidRPr="00A63A39" w:rsidRDefault="00213EEA" w:rsidP="00213EEA">
            <w:pPr>
              <w:spacing w:line="267" w:lineRule="exact"/>
              <w:ind w:right="674"/>
              <w:rPr>
                <w:rFonts w:ascii="Calibri" w:hAnsi="Calibri" w:cs="Calibri"/>
                <w:color w:val="000000"/>
              </w:rPr>
            </w:pPr>
            <w:r w:rsidRPr="00A63A39">
              <w:rPr>
                <w:rFonts w:ascii="Calibri" w:hAnsi="Calibri" w:cs="Calibri"/>
                <w:color w:val="000000"/>
              </w:rPr>
              <w:t>33014 Tampere University</w:t>
            </w:r>
          </w:p>
          <w:p w:rsidR="00213EEA" w:rsidRPr="00A63A39" w:rsidRDefault="00213EEA" w:rsidP="00213EEA">
            <w:pPr>
              <w:spacing w:line="267" w:lineRule="exact"/>
              <w:ind w:right="674"/>
              <w:rPr>
                <w:rFonts w:ascii="Calibri" w:hAnsi="Calibri" w:cs="Calibri"/>
                <w:color w:val="000000"/>
              </w:rPr>
            </w:pPr>
          </w:p>
          <w:p w:rsidR="00213EEA" w:rsidRPr="00A63A39" w:rsidRDefault="00213EEA" w:rsidP="00213EEA">
            <w:pPr>
              <w:spacing w:line="267" w:lineRule="exact"/>
              <w:ind w:right="67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  <w:r w:rsidRPr="00A63A39">
              <w:rPr>
                <w:rFonts w:ascii="Calibri" w:hAnsi="Calibri" w:cs="Calibri"/>
                <w:color w:val="000000"/>
              </w:rPr>
              <w:t xml:space="preserve">usiness identity code </w:t>
            </w:r>
            <w:r w:rsidRPr="00196C02">
              <w:rPr>
                <w:rFonts w:ascii="Calibri" w:hAnsi="Calibri" w:cs="Calibri"/>
              </w:rPr>
              <w:t>2844561-8</w:t>
            </w:r>
          </w:p>
        </w:tc>
      </w:tr>
      <w:tr w:rsidR="00213EEA" w:rsidRPr="006B6997" w:rsidTr="00213EEA">
        <w:tc>
          <w:tcPr>
            <w:tcW w:w="2405" w:type="dxa"/>
          </w:tcPr>
          <w:p w:rsidR="00213EEA" w:rsidRPr="00213EEA" w:rsidRDefault="00213EEA" w:rsidP="00213EEA">
            <w:pPr>
              <w:rPr>
                <w:rFonts w:ascii="Times New Roman" w:hAnsi="Times New Roman" w:cs="Times New Roman"/>
                <w:color w:val="010302"/>
              </w:rPr>
            </w:pPr>
            <w:r w:rsidRPr="00213EEA">
              <w:rPr>
                <w:rFonts w:ascii="Calibri-Bold" w:hAnsi="Calibri-Bold" w:cs="Calibri-Bold"/>
                <w:b/>
                <w:bCs/>
                <w:color w:val="000000"/>
              </w:rPr>
              <w:t>Data protection officers’ contact information</w:t>
            </w:r>
          </w:p>
        </w:tc>
        <w:tc>
          <w:tcPr>
            <w:tcW w:w="6611" w:type="dxa"/>
          </w:tcPr>
          <w:p w:rsidR="00213EEA" w:rsidRPr="006B6997" w:rsidRDefault="00213EEA" w:rsidP="00213EEA">
            <w:pPr>
              <w:rPr>
                <w:rFonts w:ascii="Calibri" w:hAnsi="Calibri" w:cs="Calibri"/>
                <w:color w:val="000000"/>
              </w:rPr>
            </w:pPr>
            <w:r w:rsidRPr="006B6997">
              <w:rPr>
                <w:rFonts w:ascii="Calibri" w:hAnsi="Calibri" w:cs="Calibri"/>
                <w:color w:val="000000"/>
              </w:rPr>
              <w:t>Data protection officer of Tampere University</w:t>
            </w:r>
          </w:p>
          <w:p w:rsidR="00213EEA" w:rsidRPr="002F3340" w:rsidRDefault="00B8237D" w:rsidP="00213EEA">
            <w:pPr>
              <w:rPr>
                <w:rFonts w:ascii="Calibri" w:hAnsi="Calibri" w:cs="Calibri"/>
                <w:color w:val="000000"/>
              </w:rPr>
            </w:pPr>
            <w:hyperlink r:id="rId6" w:history="1">
              <w:r w:rsidR="00213EEA" w:rsidRPr="002F3340">
                <w:rPr>
                  <w:rStyle w:val="Hyperlink"/>
                  <w:rFonts w:ascii="Calibri" w:hAnsi="Calibri" w:cs="Calibri"/>
                </w:rPr>
                <w:t>dpo@tuni.fi</w:t>
              </w:r>
            </w:hyperlink>
          </w:p>
          <w:p w:rsidR="00213EEA" w:rsidRPr="002F3340" w:rsidRDefault="00213EEA" w:rsidP="00213EEA">
            <w:pPr>
              <w:ind w:left="93"/>
              <w:rPr>
                <w:rFonts w:ascii="Calibri" w:hAnsi="Calibri" w:cs="Calibri"/>
                <w:color w:val="000000"/>
              </w:rPr>
            </w:pPr>
          </w:p>
          <w:p w:rsidR="00213EEA" w:rsidRPr="002F3340" w:rsidRDefault="00213EEA" w:rsidP="00213EEA">
            <w:pPr>
              <w:rPr>
                <w:rFonts w:ascii="Calibri" w:hAnsi="Calibri" w:cs="Calibri"/>
                <w:color w:val="000000"/>
              </w:rPr>
            </w:pPr>
            <w:r w:rsidRPr="002F3340">
              <w:rPr>
                <w:rFonts w:ascii="Calibri" w:hAnsi="Calibri" w:cs="Calibri"/>
                <w:color w:val="000000"/>
              </w:rPr>
              <w:t>Data protection officer</w:t>
            </w:r>
          </w:p>
          <w:p w:rsidR="00213EEA" w:rsidRPr="00E90D6D" w:rsidRDefault="00213EEA" w:rsidP="00213EEA">
            <w:pPr>
              <w:rPr>
                <w:lang w:val="fi-FI"/>
              </w:rPr>
            </w:pPr>
            <w:r>
              <w:rPr>
                <w:rFonts w:ascii="Calibri" w:hAnsi="Calibri" w:cs="Calibri"/>
                <w:color w:val="000000"/>
                <w:lang w:val="fi-FI"/>
              </w:rPr>
              <w:t>33014 Tampereen yliopisto</w:t>
            </w:r>
          </w:p>
        </w:tc>
      </w:tr>
      <w:tr w:rsidR="00213EEA" w:rsidRPr="006B6997" w:rsidTr="00213EEA">
        <w:tc>
          <w:tcPr>
            <w:tcW w:w="2405" w:type="dxa"/>
          </w:tcPr>
          <w:p w:rsidR="00213EEA" w:rsidRPr="006B6997" w:rsidRDefault="00213EEA" w:rsidP="00213EEA">
            <w:pPr>
              <w:rPr>
                <w:rFonts w:cstheme="minorHAnsi"/>
                <w:b/>
                <w:color w:val="010302"/>
              </w:rPr>
            </w:pPr>
            <w:r w:rsidRPr="006B6997">
              <w:rPr>
                <w:rFonts w:cstheme="minorHAnsi"/>
                <w:b/>
                <w:color w:val="010302"/>
              </w:rPr>
              <w:t xml:space="preserve">Legal basis for </w:t>
            </w:r>
            <w:r w:rsidRPr="00C40C24">
              <w:rPr>
                <w:rFonts w:cstheme="minorHAnsi"/>
                <w:b/>
              </w:rPr>
              <w:t xml:space="preserve">processing </w:t>
            </w:r>
            <w:r w:rsidR="002F3340" w:rsidRPr="00C40C24">
              <w:rPr>
                <w:rFonts w:cstheme="minorHAnsi"/>
                <w:b/>
              </w:rPr>
              <w:t xml:space="preserve">the </w:t>
            </w:r>
            <w:r w:rsidRPr="006B6997">
              <w:rPr>
                <w:rFonts w:cstheme="minorHAnsi"/>
                <w:b/>
                <w:color w:val="010302"/>
              </w:rPr>
              <w:t>personal data</w:t>
            </w:r>
          </w:p>
        </w:tc>
        <w:tc>
          <w:tcPr>
            <w:tcW w:w="6611" w:type="dxa"/>
          </w:tcPr>
          <w:p w:rsidR="00213EEA" w:rsidRPr="006B6997" w:rsidRDefault="00213EEA" w:rsidP="00213EEA">
            <w:r w:rsidRPr="006B6997">
              <w:t>The processing of your personal data is necessary for scientific research purposes in the public interest based on section 4, paragraph 3 of the Data Protection Act (1050/2018). Special categories of personal data are processed for scientific purposes in accordance with section 6, subsection 1, paragraph 7 of the Data Protection Act.</w:t>
            </w:r>
          </w:p>
        </w:tc>
      </w:tr>
      <w:tr w:rsidR="00213EEA" w:rsidRPr="00213EEA" w:rsidTr="00213EEA">
        <w:tc>
          <w:tcPr>
            <w:tcW w:w="2405" w:type="dxa"/>
          </w:tcPr>
          <w:p w:rsidR="00213EEA" w:rsidRPr="00A63A39" w:rsidRDefault="00213EEA" w:rsidP="00213EEA">
            <w:pPr>
              <w:rPr>
                <w:b/>
              </w:rPr>
            </w:pPr>
            <w:r w:rsidRPr="00A63A39">
              <w:rPr>
                <w:b/>
              </w:rPr>
              <w:t>Storage period of</w:t>
            </w:r>
            <w:r w:rsidRPr="00C40C24">
              <w:rPr>
                <w:b/>
              </w:rPr>
              <w:t xml:space="preserve"> </w:t>
            </w:r>
            <w:r w:rsidR="002F3340" w:rsidRPr="00C40C24">
              <w:rPr>
                <w:b/>
              </w:rPr>
              <w:t xml:space="preserve">the </w:t>
            </w:r>
            <w:r w:rsidRPr="00A63A39">
              <w:rPr>
                <w:b/>
              </w:rPr>
              <w:t>personal data</w:t>
            </w:r>
          </w:p>
        </w:tc>
        <w:tc>
          <w:tcPr>
            <w:tcW w:w="6611" w:type="dxa"/>
          </w:tcPr>
          <w:p w:rsidR="00213EEA" w:rsidRPr="00213EEA" w:rsidRDefault="00213EEA" w:rsidP="00213EEA">
            <w:r w:rsidRPr="00A63A39">
              <w:t>After the resear</w:t>
            </w:r>
            <w:r>
              <w:t xml:space="preserve">ch </w:t>
            </w:r>
            <w:bookmarkStart w:id="0" w:name="_GoBack"/>
            <w:r w:rsidRPr="00C40C24">
              <w:t xml:space="preserve">is </w:t>
            </w:r>
            <w:r w:rsidR="002F3340" w:rsidRPr="00C40C24">
              <w:t>completed</w:t>
            </w:r>
            <w:r w:rsidRPr="00C40C24">
              <w:t xml:space="preserve">, the </w:t>
            </w:r>
            <w:bookmarkEnd w:id="0"/>
            <w:r>
              <w:t>research dat</w:t>
            </w:r>
            <w:r w:rsidRPr="00A63A39">
              <w:t>a without personal data will be</w:t>
            </w:r>
            <w:r>
              <w:t xml:space="preserve"> stored in the </w:t>
            </w:r>
            <w:r w:rsidRPr="00A63A39">
              <w:t>Finnish Social Science Data Archive</w:t>
            </w:r>
            <w:r>
              <w:t xml:space="preserve"> for research purposes. The registered will be asked for the consent for filing the data. </w:t>
            </w:r>
          </w:p>
        </w:tc>
      </w:tr>
      <w:tr w:rsidR="00213EEA" w:rsidRPr="00213EEA" w:rsidTr="00213EEA">
        <w:tc>
          <w:tcPr>
            <w:tcW w:w="2405" w:type="dxa"/>
          </w:tcPr>
          <w:p w:rsidR="00213EEA" w:rsidRPr="00213EEA" w:rsidRDefault="00213EEA" w:rsidP="00213EEA">
            <w:pPr>
              <w:rPr>
                <w:b/>
              </w:rPr>
            </w:pPr>
            <w:r w:rsidRPr="00213EEA">
              <w:rPr>
                <w:b/>
              </w:rPr>
              <w:t>Rights of the data subject</w:t>
            </w:r>
          </w:p>
        </w:tc>
        <w:tc>
          <w:tcPr>
            <w:tcW w:w="6611" w:type="dxa"/>
          </w:tcPr>
          <w:p w:rsidR="00213EEA" w:rsidRPr="00213EEA" w:rsidRDefault="00213EEA" w:rsidP="00213EEA">
            <w:r>
              <w:t xml:space="preserve">According </w:t>
            </w:r>
            <w:r w:rsidRPr="00C40C24">
              <w:t xml:space="preserve">to </w:t>
            </w:r>
            <w:r w:rsidR="002F3340" w:rsidRPr="00C40C24">
              <w:t xml:space="preserve">the </w:t>
            </w:r>
            <w:r w:rsidRPr="00C40C24">
              <w:t xml:space="preserve">Data </w:t>
            </w:r>
            <w:r>
              <w:t>Protection A</w:t>
            </w:r>
            <w:r w:rsidRPr="00213EEA">
              <w:t xml:space="preserve">ct, </w:t>
            </w:r>
            <w:r>
              <w:t>y</w:t>
            </w:r>
            <w:r w:rsidRPr="00213EEA">
              <w:t>ou have the right to access your personal data, to have inaccurate personal data rectified, to restrict the processing of your personal data, and to object to the pro</w:t>
            </w:r>
            <w:r>
              <w:t>cessing of your personal data. If you want to use these rights, contact the data controller (Tampere University).</w:t>
            </w:r>
          </w:p>
        </w:tc>
      </w:tr>
      <w:tr w:rsidR="00213EEA" w:rsidRPr="002F3340" w:rsidTr="00213EEA">
        <w:tc>
          <w:tcPr>
            <w:tcW w:w="2405" w:type="dxa"/>
          </w:tcPr>
          <w:p w:rsidR="00213EEA" w:rsidRPr="00A63A39" w:rsidRDefault="00213EEA" w:rsidP="00213EEA">
            <w:pPr>
              <w:rPr>
                <w:b/>
              </w:rPr>
            </w:pPr>
            <w:r>
              <w:rPr>
                <w:b/>
              </w:rPr>
              <w:t>T</w:t>
            </w:r>
            <w:r w:rsidRPr="00A63A39">
              <w:rPr>
                <w:b/>
              </w:rPr>
              <w:t>he right to lodge a complaint with an authority</w:t>
            </w:r>
          </w:p>
        </w:tc>
        <w:tc>
          <w:tcPr>
            <w:tcW w:w="6611" w:type="dxa"/>
          </w:tcPr>
          <w:p w:rsidR="00213EEA" w:rsidRPr="00A63A39" w:rsidRDefault="00213EEA" w:rsidP="00213EEA">
            <w:r w:rsidRPr="00A63A39">
              <w:t>You have the right to lodge a complaint with an authority supervising the processing of personal data if you have a suspicion that your personal data are processed in violation of data protection legislation.</w:t>
            </w:r>
          </w:p>
          <w:p w:rsidR="00213EEA" w:rsidRPr="00E90D6D" w:rsidRDefault="00213EEA" w:rsidP="00213EEA">
            <w:pPr>
              <w:rPr>
                <w:lang w:val="fi-FI"/>
              </w:rPr>
            </w:pPr>
            <w:r>
              <w:rPr>
                <w:lang w:val="fi-FI"/>
              </w:rPr>
              <w:t>tietosuoja.</w:t>
            </w:r>
            <w:r w:rsidRPr="00C40C24">
              <w:rPr>
                <w:lang w:val="fi-FI"/>
              </w:rPr>
              <w:t xml:space="preserve">fi, </w:t>
            </w:r>
            <w:proofErr w:type="spellStart"/>
            <w:r w:rsidRPr="00C40C24">
              <w:rPr>
                <w:lang w:val="fi-FI"/>
              </w:rPr>
              <w:t>p</w:t>
            </w:r>
            <w:r w:rsidR="002F3340" w:rsidRPr="00C40C24">
              <w:rPr>
                <w:lang w:val="fi-FI"/>
              </w:rPr>
              <w:t>hone</w:t>
            </w:r>
            <w:proofErr w:type="spellEnd"/>
            <w:r w:rsidRPr="00C40C24">
              <w:rPr>
                <w:lang w:val="fi-FI"/>
              </w:rPr>
              <w:t xml:space="preserve">: 0295666700, </w:t>
            </w:r>
            <w:proofErr w:type="spellStart"/>
            <w:r w:rsidR="002F3340" w:rsidRPr="00C40C24">
              <w:rPr>
                <w:lang w:val="fi-FI"/>
              </w:rPr>
              <w:t>email</w:t>
            </w:r>
            <w:proofErr w:type="spellEnd"/>
            <w:r w:rsidRPr="00C40C24">
              <w:rPr>
                <w:lang w:val="fi-FI"/>
              </w:rPr>
              <w:t>: tietosuoja</w:t>
            </w:r>
            <w:r>
              <w:rPr>
                <w:lang w:val="fi-FI"/>
              </w:rPr>
              <w:t>@om.fi</w:t>
            </w:r>
          </w:p>
        </w:tc>
      </w:tr>
      <w:tr w:rsidR="00213EEA" w:rsidRPr="00213EEA" w:rsidTr="00213EEA">
        <w:tc>
          <w:tcPr>
            <w:tcW w:w="2405" w:type="dxa"/>
          </w:tcPr>
          <w:p w:rsidR="00213EEA" w:rsidRPr="002F3340" w:rsidRDefault="00213EEA" w:rsidP="00213EEA">
            <w:pPr>
              <w:rPr>
                <w:b/>
              </w:rPr>
            </w:pPr>
            <w:r w:rsidRPr="002F3340">
              <w:rPr>
                <w:b/>
              </w:rPr>
              <w:t>Recipients of</w:t>
            </w:r>
            <w:r w:rsidRPr="00C40C24">
              <w:rPr>
                <w:b/>
              </w:rPr>
              <w:t xml:space="preserve"> </w:t>
            </w:r>
            <w:r w:rsidR="002F3340" w:rsidRPr="00C40C24">
              <w:rPr>
                <w:b/>
              </w:rPr>
              <w:t xml:space="preserve">the </w:t>
            </w:r>
            <w:r w:rsidRPr="002F3340">
              <w:rPr>
                <w:b/>
              </w:rPr>
              <w:t>personal data</w:t>
            </w:r>
          </w:p>
        </w:tc>
        <w:tc>
          <w:tcPr>
            <w:tcW w:w="6611" w:type="dxa"/>
          </w:tcPr>
          <w:p w:rsidR="00213EEA" w:rsidRPr="00213EEA" w:rsidRDefault="00213EEA" w:rsidP="00213EEA">
            <w:r w:rsidRPr="00213EEA">
              <w:t>Your personal data will not be given to any third party outside research project</w:t>
            </w:r>
            <w:r>
              <w:t>. The research data will be handled only by the researchers.</w:t>
            </w:r>
          </w:p>
        </w:tc>
      </w:tr>
      <w:tr w:rsidR="00213EEA" w:rsidRPr="00213EEA" w:rsidTr="00213EEA">
        <w:tc>
          <w:tcPr>
            <w:tcW w:w="2405" w:type="dxa"/>
          </w:tcPr>
          <w:p w:rsidR="00213EEA" w:rsidRPr="00213EEA" w:rsidRDefault="00213EEA" w:rsidP="00213EEA">
            <w:pPr>
              <w:rPr>
                <w:b/>
              </w:rPr>
            </w:pPr>
            <w:r w:rsidRPr="00213EEA">
              <w:rPr>
                <w:b/>
              </w:rPr>
              <w:t>Consequences of</w:t>
            </w:r>
            <w:r w:rsidRPr="00213EEA">
              <w:t xml:space="preserve"> </w:t>
            </w:r>
            <w:r w:rsidRPr="00213EEA">
              <w:rPr>
                <w:b/>
              </w:rPr>
              <w:t xml:space="preserve">provision </w:t>
            </w:r>
            <w:r w:rsidRPr="00C40C24">
              <w:rPr>
                <w:b/>
              </w:rPr>
              <w:t xml:space="preserve">of </w:t>
            </w:r>
            <w:r w:rsidR="002F3340" w:rsidRPr="00C40C24">
              <w:rPr>
                <w:b/>
              </w:rPr>
              <w:t xml:space="preserve">the </w:t>
            </w:r>
            <w:r w:rsidRPr="00213EEA">
              <w:rPr>
                <w:b/>
              </w:rPr>
              <w:t>personal data</w:t>
            </w:r>
          </w:p>
        </w:tc>
        <w:tc>
          <w:tcPr>
            <w:tcW w:w="6611" w:type="dxa"/>
          </w:tcPr>
          <w:p w:rsidR="00213EEA" w:rsidRPr="00213EEA" w:rsidRDefault="00213EEA" w:rsidP="00213EEA">
            <w:r w:rsidRPr="00213EEA">
              <w:t>Your personal data are not used for automated decision-making or profiling.  Providing personal data is not required on statutory or contractual grounds, or on the grounds of concluding a contract. Not providing the data does not have any consequences for you.</w:t>
            </w:r>
          </w:p>
        </w:tc>
      </w:tr>
    </w:tbl>
    <w:p w:rsidR="00E90D6D" w:rsidRPr="001214BA" w:rsidRDefault="001214BA">
      <w:r w:rsidRPr="001214BA">
        <w:t>In this announcement the information r</w:t>
      </w:r>
      <w:r>
        <w:t>equired by the Data protection Act</w:t>
      </w:r>
      <w:r w:rsidRPr="001214BA">
        <w:t xml:space="preserve"> of the EU (articles 13 and 14) is given</w:t>
      </w:r>
    </w:p>
    <w:sectPr w:rsidR="00E90D6D" w:rsidRPr="00121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charset w:val="00"/>
    <w:family w:val="auto"/>
    <w:pitch w:val="variable"/>
    <w:sig w:usb0="8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6D"/>
    <w:rsid w:val="00043203"/>
    <w:rsid w:val="001214BA"/>
    <w:rsid w:val="00213EEA"/>
    <w:rsid w:val="002F3340"/>
    <w:rsid w:val="004257BA"/>
    <w:rsid w:val="00435083"/>
    <w:rsid w:val="004F1537"/>
    <w:rsid w:val="00532D88"/>
    <w:rsid w:val="005F74E9"/>
    <w:rsid w:val="006B6997"/>
    <w:rsid w:val="00890476"/>
    <w:rsid w:val="0090663D"/>
    <w:rsid w:val="00A005EF"/>
    <w:rsid w:val="00A63A39"/>
    <w:rsid w:val="00B96403"/>
    <w:rsid w:val="00BB4E0F"/>
    <w:rsid w:val="00C40C24"/>
    <w:rsid w:val="00D34A55"/>
    <w:rsid w:val="00D85BB2"/>
    <w:rsid w:val="00E9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F6B7"/>
  <w15:chartTrackingRefBased/>
  <w15:docId w15:val="{D3692564-F2C4-499E-937A-4517C123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D6D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4A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tuni.fi" TargetMode="External"/><Relationship Id="rId5" Type="http://schemas.openxmlformats.org/officeDocument/2006/relationships/hyperlink" Target="mailto:tuija.koivunen@tuni.fi" TargetMode="External"/><Relationship Id="rId4" Type="http://schemas.openxmlformats.org/officeDocument/2006/relationships/hyperlink" Target="mailto:tiina.saari@tuni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Tuija Koivunen (TAU)</dc:creator>
  <cp:keywords/>
  <dc:description/>
  <cp:lastModifiedBy>Tiina Saari (TAU)</cp:lastModifiedBy>
  <cp:revision>2</cp:revision>
  <dcterms:created xsi:type="dcterms:W3CDTF">2019-12-11T13:00:00Z</dcterms:created>
  <dcterms:modified xsi:type="dcterms:W3CDTF">2019-12-11T13:00:00Z</dcterms:modified>
</cp:coreProperties>
</file>