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D86FA" w14:textId="36E0F174" w:rsidR="00F7677F" w:rsidRPr="002B4DBD" w:rsidRDefault="00453ADE" w:rsidP="00001D7C">
      <w:pPr>
        <w:pStyle w:val="Heading2"/>
        <w:ind w:left="10"/>
        <w:rPr>
          <w:rFonts w:eastAsia="Calibri"/>
          <w:b/>
          <w:bCs/>
          <w:sz w:val="28"/>
          <w:szCs w:val="28"/>
        </w:rPr>
      </w:pPr>
      <w:r w:rsidRPr="002B4DBD">
        <w:rPr>
          <w:rFonts w:eastAsia="Calibri"/>
          <w:b/>
          <w:bCs/>
          <w:sz w:val="28"/>
          <w:szCs w:val="28"/>
        </w:rPr>
        <w:t>Opiskelijan aineistonhallinnan ohjeet</w:t>
      </w:r>
    </w:p>
    <w:p w14:paraId="6E9BD185" w14:textId="77777777" w:rsidR="009E7AD2" w:rsidRPr="009E7AD2" w:rsidRDefault="009E7AD2" w:rsidP="009E7AD2">
      <w:pPr>
        <w:rPr>
          <w:sz w:val="22"/>
        </w:rPr>
      </w:pPr>
    </w:p>
    <w:p w14:paraId="13385B9B" w14:textId="54FBE081" w:rsidR="00F7677F" w:rsidRPr="002B4DBD" w:rsidRDefault="00453ADE" w:rsidP="00001D7C">
      <w:pPr>
        <w:pStyle w:val="Heading3"/>
        <w:numPr>
          <w:ilvl w:val="0"/>
          <w:numId w:val="5"/>
        </w:numPr>
        <w:rPr>
          <w:b/>
          <w:bCs/>
        </w:rPr>
      </w:pPr>
      <w:r w:rsidRPr="002B4DBD">
        <w:rPr>
          <w:b/>
          <w:bCs/>
        </w:rPr>
        <w:t>Aineiston esittely</w:t>
      </w:r>
    </w:p>
    <w:p w14:paraId="602622E1" w14:textId="77777777" w:rsidR="00BA3FF6" w:rsidRPr="00BA3FF6" w:rsidRDefault="00BA3FF6" w:rsidP="00BA3FF6"/>
    <w:p w14:paraId="6022BFF9" w14:textId="1F71032D" w:rsidR="00F925EF" w:rsidRDefault="00453ADE" w:rsidP="00F925EF">
      <w:pPr>
        <w:pStyle w:val="ListParagraph"/>
        <w:numPr>
          <w:ilvl w:val="0"/>
          <w:numId w:val="3"/>
        </w:numPr>
        <w:ind w:right="1"/>
        <w:rPr>
          <w:sz w:val="22"/>
        </w:rPr>
      </w:pPr>
      <w:r w:rsidRPr="00F925EF">
        <w:rPr>
          <w:sz w:val="22"/>
        </w:rPr>
        <w:t>Kerro lyhyesti tutkimusaineistostasi: millaisen aineiston keräät tai tuotat tai millaista olemassa olevaa</w:t>
      </w:r>
      <w:r w:rsidR="00391133">
        <w:rPr>
          <w:sz w:val="22"/>
        </w:rPr>
        <w:t xml:space="preserve"> </w:t>
      </w:r>
      <w:r w:rsidRPr="00F925EF">
        <w:rPr>
          <w:sz w:val="22"/>
        </w:rPr>
        <w:t>aineistoa käytät?</w:t>
      </w:r>
    </w:p>
    <w:p w14:paraId="671342D1" w14:textId="4EF50EC7" w:rsidR="00F7677F" w:rsidRDefault="00453ADE" w:rsidP="00F925EF">
      <w:pPr>
        <w:pStyle w:val="ListParagraph"/>
        <w:numPr>
          <w:ilvl w:val="0"/>
          <w:numId w:val="3"/>
        </w:numPr>
        <w:ind w:right="1"/>
        <w:rPr>
          <w:sz w:val="22"/>
        </w:rPr>
      </w:pPr>
      <w:r w:rsidRPr="00F925EF">
        <w:rPr>
          <w:sz w:val="22"/>
        </w:rPr>
        <w:t>Kuinka paljon tallennustilaa tarvitset aineistollesi?</w:t>
      </w:r>
    </w:p>
    <w:p w14:paraId="2A44CC79" w14:textId="3784D677" w:rsidR="00AD65D5" w:rsidRDefault="00AD65D5" w:rsidP="00AD65D5">
      <w:pPr>
        <w:pStyle w:val="ListParagraph"/>
        <w:numPr>
          <w:ilvl w:val="0"/>
          <w:numId w:val="3"/>
        </w:numPr>
        <w:ind w:right="1"/>
        <w:rPr>
          <w:sz w:val="22"/>
        </w:rPr>
      </w:pPr>
      <w:r w:rsidRPr="00AD65D5">
        <w:rPr>
          <w:sz w:val="22"/>
        </w:rPr>
        <w:t>Varmista, että keräämäsi aineisto on riittävän laadukasta tutkimukseesi. Kerää ensin esimerkiksi pieni testiaineisto ennen varsinaista aineiston keruuta: tee koehaastattelu, testaa kyselylomaketta…</w:t>
      </w:r>
    </w:p>
    <w:p w14:paraId="6D88E34C" w14:textId="02426630" w:rsidR="00AD65D5" w:rsidRDefault="00AD65D5" w:rsidP="00EF5D58">
      <w:pPr>
        <w:pStyle w:val="ListParagraph"/>
        <w:numPr>
          <w:ilvl w:val="0"/>
          <w:numId w:val="3"/>
        </w:numPr>
        <w:spacing w:after="360"/>
        <w:ind w:right="1"/>
        <w:rPr>
          <w:sz w:val="22"/>
        </w:rPr>
      </w:pPr>
      <w:r w:rsidRPr="00AD65D5">
        <w:rPr>
          <w:sz w:val="22"/>
        </w:rPr>
        <w:t>Jos käytät aiemmin kerättyä aineistoa, perehdy siihen huolella ja arvioi pystytkö sen avulla vastaamaan tutkimuskysymyksiisi.</w:t>
      </w:r>
    </w:p>
    <w:p w14:paraId="4856E640" w14:textId="73252712" w:rsidR="00D323EA" w:rsidRPr="00DD548E" w:rsidRDefault="00D323EA" w:rsidP="00D323EA">
      <w:pPr>
        <w:spacing w:after="360"/>
        <w:ind w:left="0" w:right="1" w:firstLine="0"/>
        <w:rPr>
          <w:sz w:val="22"/>
        </w:rPr>
      </w:pPr>
      <w:r w:rsidRPr="00DD548E">
        <w:rPr>
          <w:sz w:val="22"/>
        </w:rPr>
        <w:t xml:space="preserve">Kirjoita tähän </w:t>
      </w:r>
      <w:r w:rsidR="00BA3FF6" w:rsidRPr="00DD548E">
        <w:rPr>
          <w:sz w:val="22"/>
        </w:rPr>
        <w:t>vastauksesi</w:t>
      </w:r>
      <w:r w:rsidRPr="00DD548E">
        <w:rPr>
          <w:sz w:val="22"/>
        </w:rPr>
        <w:t xml:space="preserve"> ja lue alla oleva ohje.</w:t>
      </w:r>
    </w:p>
    <w:p w14:paraId="7E07258D" w14:textId="14EA229F" w:rsidR="00EF5D58" w:rsidRPr="0082312C" w:rsidRDefault="00EF5D58" w:rsidP="00127CA4">
      <w:pPr>
        <w:spacing w:after="360" w:line="259" w:lineRule="auto"/>
        <w:ind w:left="20"/>
        <w:contextualSpacing/>
        <w:rPr>
          <w:b/>
          <w:bCs/>
          <w:sz w:val="22"/>
        </w:rPr>
      </w:pPr>
      <w:r w:rsidRPr="0082312C">
        <w:rPr>
          <w:b/>
          <w:bCs/>
          <w:sz w:val="22"/>
        </w:rPr>
        <w:t>Ohje</w:t>
      </w:r>
      <w:r w:rsidR="0082312C">
        <w:rPr>
          <w:b/>
          <w:bCs/>
          <w:sz w:val="22"/>
        </w:rPr>
        <w:t>et</w:t>
      </w:r>
    </w:p>
    <w:p w14:paraId="4E30D18B" w14:textId="0A212CFC" w:rsidR="00127CA4" w:rsidRDefault="00453ADE" w:rsidP="00127CA4">
      <w:pPr>
        <w:spacing w:after="35" w:line="259" w:lineRule="auto"/>
        <w:ind w:left="10" w:firstLine="0"/>
        <w:contextualSpacing/>
        <w:rPr>
          <w:sz w:val="22"/>
        </w:rPr>
      </w:pPr>
      <w:r w:rsidRPr="009E7AD2">
        <w:rPr>
          <w:sz w:val="22"/>
        </w:rPr>
        <w:t>Tutkimusaineistolla (tai tutkimusdatalla) tarkoitetaan opinnäytteessä käyttämääsi aineistoa,</w:t>
      </w:r>
      <w:r w:rsidR="00127CA4">
        <w:rPr>
          <w:sz w:val="22"/>
        </w:rPr>
        <w:t xml:space="preserve"> </w:t>
      </w:r>
      <w:r w:rsidR="00127CA4" w:rsidRPr="009E7AD2">
        <w:rPr>
          <w:sz w:val="22"/>
        </w:rPr>
        <w:t xml:space="preserve">johon opinnäyte perustuu. Aineisto voi olla sinun itse keräämääsi kuten esimerkiksi kyselyitä, haastatteluita, mittaustuloksia, muistiinpanoja, kenttäpäiväkirjoja.... Näiden lisäksi tutkimuksessa voidaan käyttää muualta saatuja ”valmiita” aineistoja, kuten arkistolähteitä, äänitallenteita, YouTube-videoita, valokuvia, kirjallisuutta tutkimuskohteena, elokuvia, verkkosivustoja, keskustelupalstojen viestiketjuja, lääketieteellisiä kuvantamisia, simulaatioita jne. Aineisto voi olla myös ohjaajaltasi tai data-arkistosta saatu tutkimusaineisto. Jatkokäyttöä varten arkistoituja kysely- ja haastatteluaineistoja, joita sinäkin voit hyödyntää omassa opinnäytteessäsi, voit etsiä esimerkiksi </w:t>
      </w:r>
      <w:hyperlink r:id="rId7">
        <w:r w:rsidR="00127CA4" w:rsidRPr="009E7AD2">
          <w:rPr>
            <w:color w:val="0000EE"/>
            <w:sz w:val="22"/>
            <w:u w:val="single" w:color="0000EE"/>
          </w:rPr>
          <w:t>Tietoarkistosta</w:t>
        </w:r>
      </w:hyperlink>
      <w:r w:rsidR="00127CA4" w:rsidRPr="009E7AD2">
        <w:rPr>
          <w:sz w:val="22"/>
        </w:rPr>
        <w:t>.</w:t>
      </w:r>
    </w:p>
    <w:p w14:paraId="35C770A0" w14:textId="77777777" w:rsidR="00127CA4" w:rsidRPr="009E7AD2" w:rsidRDefault="00127CA4" w:rsidP="00127CA4">
      <w:pPr>
        <w:spacing w:after="35"/>
        <w:ind w:left="10" w:right="1" w:firstLine="0"/>
        <w:rPr>
          <w:sz w:val="22"/>
        </w:rPr>
      </w:pPr>
    </w:p>
    <w:p w14:paraId="41E398A3" w14:textId="77777777" w:rsidR="00127CA4" w:rsidRPr="009E7AD2" w:rsidRDefault="00127CA4" w:rsidP="00127CA4">
      <w:pPr>
        <w:spacing w:after="179"/>
        <w:ind w:left="20" w:right="744"/>
        <w:rPr>
          <w:sz w:val="22"/>
        </w:rPr>
      </w:pPr>
      <w:r w:rsidRPr="009E7AD2">
        <w:rPr>
          <w:sz w:val="22"/>
        </w:rPr>
        <w:t>Näiden lisäksi aineistoa voivat olla lisäksi edellä lueteltujen aineistojen pohjalta tehdyt luokittelut, kategorisoinnit, taulukot, tietokannat, visualisoinnit, muistiinpanot jne. Tutkimusaineistolla ei tässä yhteydessä tarkoiteta lähdekirjallisuutta tai tutkimusjulkaisuja.</w:t>
      </w:r>
    </w:p>
    <w:p w14:paraId="16346566" w14:textId="53638892" w:rsidR="00F7677F" w:rsidRPr="009E7AD2" w:rsidRDefault="00F7677F" w:rsidP="00EF5D58">
      <w:pPr>
        <w:spacing w:after="360"/>
        <w:ind w:left="10" w:right="1"/>
        <w:rPr>
          <w:sz w:val="22"/>
        </w:rPr>
      </w:pPr>
    </w:p>
    <w:p w14:paraId="6A802DA1" w14:textId="167FB443" w:rsidR="00F7677F" w:rsidRPr="002B4DBD" w:rsidRDefault="00453ADE" w:rsidP="00735B19">
      <w:pPr>
        <w:pStyle w:val="Heading3"/>
        <w:numPr>
          <w:ilvl w:val="0"/>
          <w:numId w:val="5"/>
        </w:numPr>
        <w:rPr>
          <w:rFonts w:eastAsia="Calibri"/>
          <w:b/>
          <w:bCs/>
        </w:rPr>
      </w:pPr>
      <w:r w:rsidRPr="002B4DBD">
        <w:rPr>
          <w:rFonts w:eastAsia="Calibri"/>
          <w:b/>
          <w:bCs/>
        </w:rPr>
        <w:t>Mitä tekijänoikeuksia tai muita käyttöehtoja aineistoosi liittyy?</w:t>
      </w:r>
    </w:p>
    <w:p w14:paraId="3C333812" w14:textId="13FADA31" w:rsidR="00735B19" w:rsidRDefault="00735B19" w:rsidP="00735B19"/>
    <w:p w14:paraId="62E5346C" w14:textId="1EDD3780" w:rsidR="00735B19" w:rsidRDefault="00735B19" w:rsidP="00735B19">
      <w:pPr>
        <w:spacing w:after="360"/>
        <w:ind w:left="0" w:right="1" w:firstLine="0"/>
        <w:rPr>
          <w:sz w:val="22"/>
        </w:rPr>
      </w:pPr>
      <w:r>
        <w:rPr>
          <w:sz w:val="22"/>
        </w:rPr>
        <w:t>Kirjoita tähän vastauksesi ja lue alla oleva ohje.</w:t>
      </w:r>
    </w:p>
    <w:p w14:paraId="19914080" w14:textId="4907C284" w:rsidR="00735B19" w:rsidRPr="00735B19" w:rsidRDefault="00735B19" w:rsidP="00735B19">
      <w:pPr>
        <w:ind w:left="0" w:firstLine="0"/>
        <w:rPr>
          <w:b/>
          <w:bCs/>
          <w:sz w:val="22"/>
        </w:rPr>
      </w:pPr>
      <w:r w:rsidRPr="00735B19">
        <w:rPr>
          <w:b/>
          <w:bCs/>
          <w:sz w:val="22"/>
        </w:rPr>
        <w:t>Ohjeet</w:t>
      </w:r>
    </w:p>
    <w:p w14:paraId="49C814EF" w14:textId="1F477876" w:rsidR="00F7677F" w:rsidRDefault="00453ADE" w:rsidP="00735B19">
      <w:pPr>
        <w:ind w:left="10" w:right="1"/>
        <w:rPr>
          <w:sz w:val="22"/>
        </w:rPr>
      </w:pPr>
      <w:r w:rsidRPr="009E7AD2">
        <w:rPr>
          <w:sz w:val="22"/>
        </w:rPr>
        <w:t xml:space="preserve">Maria </w:t>
      </w:r>
      <w:proofErr w:type="spellStart"/>
      <w:r w:rsidRPr="009E7AD2">
        <w:rPr>
          <w:sz w:val="22"/>
        </w:rPr>
        <w:t>Rehbinder</w:t>
      </w:r>
      <w:proofErr w:type="spellEnd"/>
      <w:r w:rsidRPr="009E7AD2">
        <w:rPr>
          <w:sz w:val="22"/>
        </w:rPr>
        <w:t xml:space="preserve"> Aalto-yliopistosta kuvaa </w:t>
      </w:r>
      <w:hyperlink r:id="rId8">
        <w:r w:rsidRPr="009E7AD2">
          <w:rPr>
            <w:color w:val="0000EE"/>
            <w:sz w:val="22"/>
            <w:u w:val="single" w:color="0000EE"/>
          </w:rPr>
          <w:t>YouTube-videossaan</w:t>
        </w:r>
      </w:hyperlink>
      <w:r w:rsidRPr="009E7AD2">
        <w:rPr>
          <w:sz w:val="22"/>
        </w:rPr>
        <w:t xml:space="preserve"> tutkimusaineistoihin liittyviä immateriaalioikeuksia ja tietosuoja-asioita. Huomioi erityisesti muualta saamaasi aineistoon liittyvät mahdolliset tekijänoikeudet tai käyttöehdot.</w:t>
      </w:r>
    </w:p>
    <w:p w14:paraId="13E503C9" w14:textId="77777777" w:rsidR="005779E0" w:rsidRPr="009E7AD2" w:rsidRDefault="005779E0" w:rsidP="00735B19">
      <w:pPr>
        <w:ind w:left="10" w:right="1"/>
        <w:rPr>
          <w:sz w:val="22"/>
        </w:rPr>
      </w:pPr>
    </w:p>
    <w:p w14:paraId="1BD7F5A2" w14:textId="77777777" w:rsidR="00F7677F" w:rsidRPr="009E7AD2" w:rsidRDefault="00453ADE" w:rsidP="00735B19">
      <w:pPr>
        <w:spacing w:after="35"/>
        <w:ind w:left="10" w:right="1"/>
        <w:rPr>
          <w:sz w:val="22"/>
        </w:rPr>
      </w:pPr>
      <w:r w:rsidRPr="009E7AD2">
        <w:rPr>
          <w:sz w:val="22"/>
        </w:rPr>
        <w:t>Muista myös, että kaikki netissä saatavilla oleva aineisto ei ole välttämättä sellaisenaan käytettävissä omassa työssäsi. Tutustu käyttämäsi palvelun käyttöehtoihin ja selvitä, onko aineistojen tutkimuskäyttö luvallista.</w:t>
      </w:r>
    </w:p>
    <w:p w14:paraId="46F71567" w14:textId="77777777" w:rsidR="00F7677F" w:rsidRPr="009E7AD2" w:rsidRDefault="00453ADE" w:rsidP="00735B19">
      <w:pPr>
        <w:spacing w:after="35"/>
        <w:ind w:left="10" w:right="1"/>
        <w:rPr>
          <w:sz w:val="22"/>
        </w:rPr>
      </w:pPr>
      <w:r w:rsidRPr="009E7AD2">
        <w:rPr>
          <w:sz w:val="22"/>
        </w:rPr>
        <w:t xml:space="preserve">Jos aineistosi sisältää muiden </w:t>
      </w:r>
      <w:hyperlink r:id="rId9">
        <w:r w:rsidRPr="009E7AD2">
          <w:rPr>
            <w:color w:val="0000EE"/>
            <w:sz w:val="22"/>
            <w:u w:val="single" w:color="0000EE"/>
          </w:rPr>
          <w:t>valokuvia,</w:t>
        </w:r>
      </w:hyperlink>
      <w:r w:rsidRPr="009E7AD2">
        <w:rPr>
          <w:sz w:val="22"/>
        </w:rPr>
        <w:t xml:space="preserve"> tekstejä tai muita tuotoksia, niihin todennäköisesti liittyy myös tekijänoikeuksia. Erityisesti jos lataat kuvia tai tekstejä omalle koneellesi, sinun tulisi varmistaa, että sinulla on tähän oikeus. Joskus kuvien ja tekstien lupaehdot on määritelty </w:t>
      </w:r>
      <w:hyperlink r:id="rId10">
        <w:r w:rsidRPr="009E7AD2">
          <w:rPr>
            <w:color w:val="0000EE"/>
            <w:sz w:val="22"/>
            <w:u w:val="single" w:color="0000EE"/>
          </w:rPr>
          <w:t>lisensseissä</w:t>
        </w:r>
      </w:hyperlink>
      <w:r w:rsidRPr="009E7AD2">
        <w:rPr>
          <w:sz w:val="22"/>
        </w:rPr>
        <w:t>. Jos käytät aineistonasi esimerkiksi sosiaalisen median viestejä, niin varmista palvelun käyttöehdoista, että voit tarvittaessa ladata viestejä koneellesi.</w:t>
      </w:r>
    </w:p>
    <w:p w14:paraId="0FFCEA2F" w14:textId="77777777" w:rsidR="00F7677F" w:rsidRPr="009E7AD2" w:rsidRDefault="00453ADE" w:rsidP="00735B19">
      <w:pPr>
        <w:spacing w:after="179"/>
        <w:ind w:left="20" w:right="1"/>
        <w:rPr>
          <w:sz w:val="22"/>
        </w:rPr>
      </w:pPr>
      <w:r w:rsidRPr="009E7AD2">
        <w:rPr>
          <w:sz w:val="22"/>
        </w:rPr>
        <w:lastRenderedPageBreak/>
        <w:t>Jos saat ohjaajaltasi aineiston käyttöösi, kannattaa epäselvyyksien välttämiseksi sopia, kuka aineistoa saa käyttää ja mitä aineistolle tehdään opinnäytteen valmistumisen jälkeen. Entä jos opinnäyte jää kesken? Samoin, jos teet opinnäytettäsi yhteistyössä esimerkiksi yrityksen kanssa. Jääkö aineisto yrityksen käyttöön, saatko itse käyttää aineistoa myöhemmin vai pitääkö aineisto hävittää?</w:t>
      </w:r>
    </w:p>
    <w:p w14:paraId="74B0D7C6" w14:textId="7829E53C" w:rsidR="00F7677F" w:rsidRPr="002B4DBD" w:rsidRDefault="00453ADE" w:rsidP="002B4DBD">
      <w:pPr>
        <w:pStyle w:val="Heading3"/>
        <w:numPr>
          <w:ilvl w:val="0"/>
          <w:numId w:val="5"/>
        </w:numPr>
        <w:rPr>
          <w:b/>
          <w:bCs/>
        </w:rPr>
      </w:pPr>
      <w:r w:rsidRPr="002B4DBD">
        <w:rPr>
          <w:rFonts w:eastAsia="Calibri"/>
          <w:b/>
          <w:bCs/>
        </w:rPr>
        <w:t>Käsitteletkö henkilötietoja tai tunnisteellisia tietoja?</w:t>
      </w:r>
    </w:p>
    <w:p w14:paraId="5C4E6589" w14:textId="2A764716" w:rsidR="001926B5" w:rsidRDefault="001926B5" w:rsidP="001926B5">
      <w:pPr>
        <w:spacing w:after="26"/>
        <w:ind w:left="0" w:right="1" w:firstLine="0"/>
        <w:rPr>
          <w:sz w:val="22"/>
        </w:rPr>
      </w:pPr>
    </w:p>
    <w:p w14:paraId="1691DB41" w14:textId="070D3D8D" w:rsidR="0058548C" w:rsidRDefault="0058548C" w:rsidP="00AF5570">
      <w:pPr>
        <w:spacing w:after="360"/>
        <w:ind w:left="0" w:right="1" w:firstLine="0"/>
        <w:rPr>
          <w:sz w:val="22"/>
        </w:rPr>
      </w:pPr>
      <w:r w:rsidRPr="00DD548E">
        <w:rPr>
          <w:sz w:val="22"/>
        </w:rPr>
        <w:t xml:space="preserve">Kirjoita tähän vastauksesi ja </w:t>
      </w:r>
      <w:r>
        <w:rPr>
          <w:sz w:val="22"/>
        </w:rPr>
        <w:t>perehdy</w:t>
      </w:r>
      <w:r w:rsidRPr="00DD548E">
        <w:rPr>
          <w:sz w:val="22"/>
        </w:rPr>
        <w:t xml:space="preserve"> alla oleva</w:t>
      </w:r>
      <w:r>
        <w:rPr>
          <w:sz w:val="22"/>
        </w:rPr>
        <w:t>an</w:t>
      </w:r>
      <w:r w:rsidRPr="00DD548E">
        <w:rPr>
          <w:sz w:val="22"/>
        </w:rPr>
        <w:t xml:space="preserve"> ohje</w:t>
      </w:r>
      <w:r>
        <w:rPr>
          <w:sz w:val="22"/>
        </w:rPr>
        <w:t>eseen</w:t>
      </w:r>
      <w:r w:rsidRPr="00DD548E">
        <w:rPr>
          <w:sz w:val="22"/>
        </w:rPr>
        <w:t>.</w:t>
      </w:r>
    </w:p>
    <w:p w14:paraId="3F52CACE" w14:textId="3D397859" w:rsidR="00F7677F" w:rsidRPr="001926B5" w:rsidRDefault="001926B5" w:rsidP="001926B5">
      <w:pPr>
        <w:spacing w:after="26"/>
        <w:ind w:left="0" w:right="1" w:firstLine="0"/>
        <w:rPr>
          <w:b/>
          <w:bCs/>
          <w:sz w:val="22"/>
        </w:rPr>
      </w:pPr>
      <w:r w:rsidRPr="001926B5">
        <w:rPr>
          <w:b/>
          <w:bCs/>
          <w:sz w:val="22"/>
        </w:rPr>
        <w:t>Ohjeet</w:t>
      </w:r>
    </w:p>
    <w:p w14:paraId="663B0EAF" w14:textId="77777777" w:rsidR="00F7677F" w:rsidRPr="009E7AD2" w:rsidRDefault="00453ADE" w:rsidP="001926B5">
      <w:pPr>
        <w:spacing w:after="35"/>
        <w:ind w:left="10" w:right="1"/>
        <w:rPr>
          <w:sz w:val="22"/>
        </w:rPr>
      </w:pPr>
      <w:r w:rsidRPr="009E7AD2">
        <w:rPr>
          <w:sz w:val="22"/>
        </w:rPr>
        <w:t>Henkilötiedoksi katsotaan mikä tahansa tieto, jonka avulla henkilö on tunnistettavissa joko suoraan tai välillisesti.</w:t>
      </w:r>
    </w:p>
    <w:p w14:paraId="08A37A1D" w14:textId="04534E6C" w:rsidR="00D25F18" w:rsidRPr="009E7AD2" w:rsidRDefault="00453ADE" w:rsidP="00D25F18">
      <w:pPr>
        <w:spacing w:after="35"/>
        <w:ind w:left="10" w:right="1"/>
        <w:rPr>
          <w:sz w:val="22"/>
        </w:rPr>
      </w:pPr>
      <w:r w:rsidRPr="009E7AD2">
        <w:rPr>
          <w:sz w:val="22"/>
        </w:rPr>
        <w:t>Esimerkiksi haastattelututkimusta tehdessäsi käsittelet melko varmasti henkilötietoja, sillä ääni katsotaan tunnisteelliseksi tiedoksi. Lisäksi tutkittavilta kerättävät osallistumissuostumukset ovat henkilötietoja. Samoin tutkittavien yhteystiedot.</w:t>
      </w:r>
    </w:p>
    <w:p w14:paraId="18FF0934" w14:textId="77777777" w:rsidR="00F7677F" w:rsidRPr="009E7AD2" w:rsidRDefault="00453ADE" w:rsidP="001926B5">
      <w:pPr>
        <w:spacing w:after="35"/>
        <w:ind w:left="10" w:right="1"/>
        <w:rPr>
          <w:sz w:val="22"/>
        </w:rPr>
      </w:pPr>
      <w:r w:rsidRPr="009E7AD2">
        <w:rPr>
          <w:sz w:val="22"/>
        </w:rPr>
        <w:t>Kyselytutkimuksen vastauksista muodostuu helposti tunnisteellisia. Jo taustatiedot, kuten esimerkiksi ammatti, asuinkunta, ikä ja sukupuoli voivat yhdistettyinä tehdä henkilöstä tunnistettavan. Huomaa, että tunnisteellisia tietoja voi esiintyä myös tiedostojen nimissä.</w:t>
      </w:r>
    </w:p>
    <w:p w14:paraId="0B10C88B" w14:textId="77777777" w:rsidR="00F7677F" w:rsidRPr="009E7AD2" w:rsidRDefault="00453ADE" w:rsidP="001926B5">
      <w:pPr>
        <w:spacing w:after="203"/>
        <w:ind w:left="10" w:right="1"/>
        <w:rPr>
          <w:sz w:val="22"/>
        </w:rPr>
      </w:pPr>
      <w:r w:rsidRPr="009E7AD2">
        <w:rPr>
          <w:sz w:val="22"/>
        </w:rPr>
        <w:t xml:space="preserve">Käytä sitaatteja suunnitelmallisesti erityisesti, jos käytät esimerkiksi sosiaalisen median aineistoja tai keskustelupalstoilta kerättyjä aineistoja. Näistä otetut suorat lainaukset muodostavat todennäköisesti tunnisteellisen tiedon. Palvelun käyttäjälle voi tulla lisäksi yllätyksenä, että hänen viesteistään poimitaan sitaatteja ja esitetään uudessa paikassa asiayhteydestään irrotettuina, mikä voi olla myös eettinen ongelma. Marko Ahteensuu käsittelee Sosiaalisen median aineistojen eettisiä ongelmia vastuullinentiede.fi-sivustolla julkaistussa </w:t>
      </w:r>
      <w:hyperlink r:id="rId11">
        <w:r w:rsidRPr="009E7AD2">
          <w:rPr>
            <w:color w:val="0000EE"/>
            <w:sz w:val="22"/>
            <w:u w:val="single" w:color="0000EE"/>
          </w:rPr>
          <w:t>artikkelissaan</w:t>
        </w:r>
      </w:hyperlink>
      <w:r w:rsidRPr="009E7AD2">
        <w:rPr>
          <w:sz w:val="22"/>
        </w:rPr>
        <w:t>.</w:t>
      </w:r>
    </w:p>
    <w:p w14:paraId="4FDE4D18" w14:textId="77777777" w:rsidR="0058548C" w:rsidRDefault="00453ADE" w:rsidP="001926B5">
      <w:pPr>
        <w:spacing w:after="197"/>
        <w:ind w:left="10" w:right="2249"/>
        <w:rPr>
          <w:sz w:val="22"/>
        </w:rPr>
      </w:pPr>
      <w:r w:rsidRPr="009E7AD2">
        <w:rPr>
          <w:sz w:val="22"/>
        </w:rPr>
        <w:t xml:space="preserve">Lue lisää henkilötiedon määritelmästä Tietoarkiston </w:t>
      </w:r>
      <w:hyperlink r:id="rId12">
        <w:r w:rsidRPr="009E7AD2">
          <w:rPr>
            <w:color w:val="0000EE"/>
            <w:sz w:val="22"/>
            <w:u w:val="single" w:color="0000EE"/>
          </w:rPr>
          <w:t>aineistonhallinnan käsikirjasta</w:t>
        </w:r>
      </w:hyperlink>
      <w:r w:rsidRPr="009E7AD2">
        <w:rPr>
          <w:sz w:val="22"/>
        </w:rPr>
        <w:t xml:space="preserve">. </w:t>
      </w:r>
    </w:p>
    <w:p w14:paraId="1DEA2CE7" w14:textId="34C049DC" w:rsidR="00F7677F" w:rsidRPr="009E7AD2" w:rsidRDefault="00453ADE" w:rsidP="001926B5">
      <w:pPr>
        <w:spacing w:after="197"/>
        <w:ind w:left="10" w:right="2249"/>
        <w:rPr>
          <w:sz w:val="22"/>
        </w:rPr>
      </w:pPr>
      <w:r w:rsidRPr="009E7AD2">
        <w:rPr>
          <w:b/>
          <w:sz w:val="22"/>
        </w:rPr>
        <w:t>Tietosuoja</w:t>
      </w:r>
    </w:p>
    <w:p w14:paraId="3BC95A6F" w14:textId="77777777" w:rsidR="00F7677F" w:rsidRPr="009E7AD2" w:rsidRDefault="00453ADE" w:rsidP="001926B5">
      <w:pPr>
        <w:spacing w:after="203"/>
        <w:ind w:left="10" w:right="1"/>
        <w:rPr>
          <w:sz w:val="22"/>
        </w:rPr>
      </w:pPr>
      <w:r w:rsidRPr="009E7AD2">
        <w:rPr>
          <w:sz w:val="22"/>
        </w:rPr>
        <w:t>Tietosuojalla tarkoitetaan henkilötietojen suojaamista. Tietosuoja on perusoikeus, joka turvaa rekisteröidyn oikeuksien ja vapauksien toteutumisen henkilötietojen käsittelyssä. Tietosuojan tarkoituksena on osoittaa, milloin ja millä edellytyksillä henkilötietoja voidaan käsitellä. Henkilötietojen käsittelyn on aina perustuttava lakiin.</w:t>
      </w:r>
    </w:p>
    <w:p w14:paraId="369F16DD" w14:textId="77777777" w:rsidR="00F7677F" w:rsidRPr="009E7AD2" w:rsidRDefault="00453ADE" w:rsidP="001926B5">
      <w:pPr>
        <w:pStyle w:val="Heading1"/>
        <w:numPr>
          <w:ilvl w:val="0"/>
          <w:numId w:val="0"/>
        </w:numPr>
        <w:ind w:left="10" w:right="0"/>
        <w:rPr>
          <w:sz w:val="22"/>
        </w:rPr>
      </w:pPr>
      <w:r w:rsidRPr="009E7AD2">
        <w:rPr>
          <w:sz w:val="22"/>
        </w:rPr>
        <w:t>Riskiarvio</w:t>
      </w:r>
    </w:p>
    <w:p w14:paraId="103CDB27" w14:textId="77777777" w:rsidR="00F7677F" w:rsidRPr="009E7AD2" w:rsidRDefault="00453ADE" w:rsidP="001926B5">
      <w:pPr>
        <w:ind w:left="10" w:right="1"/>
        <w:rPr>
          <w:sz w:val="22"/>
        </w:rPr>
      </w:pPr>
      <w:r w:rsidRPr="009E7AD2">
        <w:rPr>
          <w:sz w:val="22"/>
        </w:rPr>
        <w:t>Perusmuotoinen riskiarvio on tehtävä aina ennen henkilötietojen käsittelyä. Riskejä arvioidaan tutkittavan näkökulmasta. Riskiarvio on dokumentoitava.</w:t>
      </w:r>
    </w:p>
    <w:p w14:paraId="09B029DC" w14:textId="13978929" w:rsidR="00F7677F" w:rsidRPr="009E7AD2" w:rsidRDefault="00453ADE" w:rsidP="001926B5">
      <w:pPr>
        <w:spacing w:after="203"/>
        <w:ind w:left="10" w:right="1"/>
        <w:rPr>
          <w:sz w:val="22"/>
        </w:rPr>
      </w:pPr>
      <w:r w:rsidRPr="009E7AD2">
        <w:rPr>
          <w:sz w:val="22"/>
        </w:rPr>
        <w:t xml:space="preserve">Vaikutusten arviointi (DPIA = Data </w:t>
      </w:r>
      <w:r w:rsidR="00294F56">
        <w:rPr>
          <w:sz w:val="22"/>
        </w:rPr>
        <w:t>P</w:t>
      </w:r>
      <w:r w:rsidRPr="009E7AD2">
        <w:rPr>
          <w:sz w:val="22"/>
        </w:rPr>
        <w:t xml:space="preserve">rotection </w:t>
      </w:r>
      <w:proofErr w:type="spellStart"/>
      <w:r w:rsidR="00294F56">
        <w:rPr>
          <w:sz w:val="22"/>
        </w:rPr>
        <w:t>I</w:t>
      </w:r>
      <w:r w:rsidRPr="009E7AD2">
        <w:rPr>
          <w:sz w:val="22"/>
        </w:rPr>
        <w:t>mpact</w:t>
      </w:r>
      <w:proofErr w:type="spellEnd"/>
      <w:r w:rsidRPr="009E7AD2">
        <w:rPr>
          <w:sz w:val="22"/>
        </w:rPr>
        <w:t xml:space="preserve"> </w:t>
      </w:r>
      <w:proofErr w:type="spellStart"/>
      <w:r w:rsidR="00294F56">
        <w:rPr>
          <w:sz w:val="22"/>
        </w:rPr>
        <w:t>A</w:t>
      </w:r>
      <w:r w:rsidRPr="009E7AD2">
        <w:rPr>
          <w:sz w:val="22"/>
        </w:rPr>
        <w:t>ssessment</w:t>
      </w:r>
      <w:proofErr w:type="spellEnd"/>
      <w:r w:rsidRPr="009E7AD2">
        <w:rPr>
          <w:sz w:val="22"/>
        </w:rPr>
        <w:t xml:space="preserve">) on tehtävä, jos riskiarvio osoittaa, että henkilötietojen käsittely aiheuttaa korkean riskin tutkittaville. Katso </w:t>
      </w:r>
      <w:hyperlink r:id="rId13">
        <w:r w:rsidRPr="009E7AD2">
          <w:rPr>
            <w:color w:val="0000EE"/>
            <w:sz w:val="22"/>
            <w:u w:val="single" w:color="0000EE"/>
          </w:rPr>
          <w:t>kriteerit</w:t>
        </w:r>
      </w:hyperlink>
      <w:r w:rsidRPr="009E7AD2">
        <w:rPr>
          <w:sz w:val="22"/>
        </w:rPr>
        <w:t xml:space="preserve"> vaikutusten arviointiin sekä riskiarvion ja vaikutusten arvioinnin </w:t>
      </w:r>
      <w:hyperlink r:id="rId14">
        <w:r w:rsidRPr="009E7AD2">
          <w:rPr>
            <w:color w:val="0000EE"/>
            <w:sz w:val="22"/>
            <w:u w:val="single" w:color="0000EE"/>
          </w:rPr>
          <w:t>mallipohja ja ohjeet</w:t>
        </w:r>
      </w:hyperlink>
      <w:r w:rsidRPr="009E7AD2">
        <w:rPr>
          <w:sz w:val="22"/>
        </w:rPr>
        <w:t>.</w:t>
      </w:r>
    </w:p>
    <w:p w14:paraId="4642835C" w14:textId="77777777" w:rsidR="00F7677F" w:rsidRPr="009E7AD2" w:rsidRDefault="00453ADE" w:rsidP="001926B5">
      <w:pPr>
        <w:pStyle w:val="Heading1"/>
        <w:numPr>
          <w:ilvl w:val="0"/>
          <w:numId w:val="0"/>
        </w:numPr>
        <w:ind w:left="10" w:right="0"/>
        <w:rPr>
          <w:sz w:val="22"/>
        </w:rPr>
      </w:pPr>
      <w:r w:rsidRPr="009E7AD2">
        <w:rPr>
          <w:sz w:val="22"/>
        </w:rPr>
        <w:t>Tutkittavien informointi ja tutkimusluvat</w:t>
      </w:r>
    </w:p>
    <w:p w14:paraId="00B6413C" w14:textId="77777777" w:rsidR="00F7677F" w:rsidRPr="009E7AD2" w:rsidRDefault="00453ADE" w:rsidP="001926B5">
      <w:pPr>
        <w:spacing w:after="203"/>
        <w:ind w:left="10" w:right="141"/>
        <w:rPr>
          <w:sz w:val="22"/>
        </w:rPr>
      </w:pPr>
      <w:r w:rsidRPr="009E7AD2">
        <w:rPr>
          <w:sz w:val="22"/>
        </w:rPr>
        <w:t xml:space="preserve">Tutkittavien informointi tutkimuksestasi ja eettisen osallistumissuostumuksen (tietoon perustuva suostumus) pyytäminen on osa hyviä tieteellisiä käytäntöjä. Informoinnin yhteydessä tutkittavia tulisi informoida henkilötietojen käsittelystä </w:t>
      </w:r>
      <w:hyperlink r:id="rId15">
        <w:r w:rsidRPr="009E7AD2">
          <w:rPr>
            <w:color w:val="0000EE"/>
            <w:sz w:val="22"/>
            <w:u w:val="single" w:color="0000EE"/>
          </w:rPr>
          <w:t>Tietosuojalain (1050/2018)</w:t>
        </w:r>
      </w:hyperlink>
      <w:r w:rsidRPr="009E7AD2">
        <w:rPr>
          <w:sz w:val="22"/>
        </w:rPr>
        <w:t xml:space="preserve"> edellyttämällä tavalla.</w:t>
      </w:r>
    </w:p>
    <w:p w14:paraId="6AF141FB" w14:textId="77777777" w:rsidR="00F7677F" w:rsidRPr="009E7AD2" w:rsidRDefault="00453ADE" w:rsidP="001926B5">
      <w:pPr>
        <w:pStyle w:val="Heading1"/>
        <w:numPr>
          <w:ilvl w:val="0"/>
          <w:numId w:val="0"/>
        </w:numPr>
        <w:ind w:left="10" w:right="0"/>
        <w:rPr>
          <w:sz w:val="22"/>
        </w:rPr>
      </w:pPr>
      <w:r w:rsidRPr="009E7AD2">
        <w:rPr>
          <w:sz w:val="22"/>
        </w:rPr>
        <w:t>Tietosuojailmoitus</w:t>
      </w:r>
    </w:p>
    <w:p w14:paraId="447D3A50" w14:textId="77777777" w:rsidR="00F7677F" w:rsidRPr="009E7AD2" w:rsidRDefault="00453ADE" w:rsidP="001926B5">
      <w:pPr>
        <w:spacing w:after="155"/>
        <w:ind w:left="10" w:right="1"/>
        <w:rPr>
          <w:sz w:val="22"/>
        </w:rPr>
      </w:pPr>
      <w:r w:rsidRPr="009E7AD2">
        <w:rPr>
          <w:sz w:val="22"/>
        </w:rPr>
        <w:t>Tietosuojailmoituksen tarkoituksena on informoida tutkittavia henkilötietojen käsittelystä.</w:t>
      </w:r>
    </w:p>
    <w:p w14:paraId="1332E54F" w14:textId="77777777" w:rsidR="00F7677F" w:rsidRPr="009E7AD2" w:rsidRDefault="00453ADE" w:rsidP="001926B5">
      <w:pPr>
        <w:ind w:left="326" w:right="1"/>
        <w:rPr>
          <w:sz w:val="22"/>
        </w:rPr>
      </w:pPr>
      <w:r w:rsidRPr="009E7AD2">
        <w:rPr>
          <w:noProof/>
          <w:sz w:val="22"/>
        </w:rPr>
        <w:lastRenderedPageBreak/>
        <mc:AlternateContent>
          <mc:Choice Requires="wpg">
            <w:drawing>
              <wp:anchor distT="0" distB="0" distL="114300" distR="114300" simplePos="0" relativeHeight="251658240" behindDoc="0" locked="0" layoutInCell="1" allowOverlap="1" wp14:anchorId="159DB121" wp14:editId="5CB694F8">
                <wp:simplePos x="0" y="0"/>
                <wp:positionH relativeFrom="column">
                  <wp:posOffset>419458</wp:posOffset>
                </wp:positionH>
                <wp:positionV relativeFrom="paragraph">
                  <wp:posOffset>29567</wp:posOffset>
                </wp:positionV>
                <wp:extent cx="30506" cy="289807"/>
                <wp:effectExtent l="0" t="0" r="0" b="0"/>
                <wp:wrapSquare wrapText="bothSides"/>
                <wp:docPr id="3275" name="Group 3275"/>
                <wp:cNvGraphicFramePr/>
                <a:graphic xmlns:a="http://schemas.openxmlformats.org/drawingml/2006/main">
                  <a:graphicData uri="http://schemas.microsoft.com/office/word/2010/wordprocessingGroup">
                    <wpg:wgp>
                      <wpg:cNvGrpSpPr/>
                      <wpg:grpSpPr>
                        <a:xfrm>
                          <a:off x="0" y="0"/>
                          <a:ext cx="30506" cy="289807"/>
                          <a:chOff x="0" y="0"/>
                          <a:chExt cx="30506" cy="289807"/>
                        </a:xfrm>
                      </wpg:grpSpPr>
                      <wps:wsp>
                        <wps:cNvPr id="159" name="Shape 159"/>
                        <wps:cNvSpPr/>
                        <wps:spPr>
                          <a:xfrm>
                            <a:off x="0" y="0"/>
                            <a:ext cx="30506" cy="30506"/>
                          </a:xfrm>
                          <a:custGeom>
                            <a:avLst/>
                            <a:gdLst/>
                            <a:ahLst/>
                            <a:cxnLst/>
                            <a:rect l="0" t="0" r="0" b="0"/>
                            <a:pathLst>
                              <a:path w="30506" h="30506">
                                <a:moveTo>
                                  <a:pt x="15253" y="0"/>
                                </a:moveTo>
                                <a:cubicBezTo>
                                  <a:pt x="23677" y="0"/>
                                  <a:pt x="30506" y="6828"/>
                                  <a:pt x="30506" y="15253"/>
                                </a:cubicBezTo>
                                <a:cubicBezTo>
                                  <a:pt x="30506" y="23677"/>
                                  <a:pt x="23677" y="30506"/>
                                  <a:pt x="15253" y="30506"/>
                                </a:cubicBezTo>
                                <a:cubicBezTo>
                                  <a:pt x="6829" y="30506"/>
                                  <a:pt x="0" y="23677"/>
                                  <a:pt x="0" y="15253"/>
                                </a:cubicBezTo>
                                <a:cubicBezTo>
                                  <a:pt x="0" y="6828"/>
                                  <a:pt x="6829" y="0"/>
                                  <a:pt x="15253" y="0"/>
                                </a:cubicBezTo>
                                <a:close/>
                              </a:path>
                            </a:pathLst>
                          </a:custGeom>
                          <a:ln w="7627" cap="sq">
                            <a:bevel/>
                          </a:ln>
                        </wps:spPr>
                        <wps:style>
                          <a:lnRef idx="1">
                            <a:srgbClr val="000000"/>
                          </a:lnRef>
                          <a:fillRef idx="1">
                            <a:srgbClr val="000000"/>
                          </a:fillRef>
                          <a:effectRef idx="0">
                            <a:scrgbClr r="0" g="0" b="0"/>
                          </a:effectRef>
                          <a:fontRef idx="none"/>
                        </wps:style>
                        <wps:bodyPr/>
                      </wps:wsp>
                      <wps:wsp>
                        <wps:cNvPr id="164" name="Shape 164"/>
                        <wps:cNvSpPr/>
                        <wps:spPr>
                          <a:xfrm>
                            <a:off x="0" y="129650"/>
                            <a:ext cx="30506" cy="30507"/>
                          </a:xfrm>
                          <a:custGeom>
                            <a:avLst/>
                            <a:gdLst/>
                            <a:ahLst/>
                            <a:cxnLst/>
                            <a:rect l="0" t="0" r="0" b="0"/>
                            <a:pathLst>
                              <a:path w="30506" h="30507">
                                <a:moveTo>
                                  <a:pt x="15253" y="0"/>
                                </a:moveTo>
                                <a:cubicBezTo>
                                  <a:pt x="23677" y="0"/>
                                  <a:pt x="30506" y="6829"/>
                                  <a:pt x="30506" y="15253"/>
                                </a:cubicBezTo>
                                <a:cubicBezTo>
                                  <a:pt x="30506" y="23678"/>
                                  <a:pt x="23677" y="30507"/>
                                  <a:pt x="15253" y="30507"/>
                                </a:cubicBezTo>
                                <a:cubicBezTo>
                                  <a:pt x="6829" y="30507"/>
                                  <a:pt x="0" y="23678"/>
                                  <a:pt x="0" y="15253"/>
                                </a:cubicBezTo>
                                <a:cubicBezTo>
                                  <a:pt x="0" y="6829"/>
                                  <a:pt x="6829" y="0"/>
                                  <a:pt x="15253" y="0"/>
                                </a:cubicBezTo>
                                <a:close/>
                              </a:path>
                            </a:pathLst>
                          </a:custGeom>
                          <a:ln w="7627" cap="sq">
                            <a:bevel/>
                          </a:ln>
                        </wps:spPr>
                        <wps:style>
                          <a:lnRef idx="1">
                            <a:srgbClr val="000000"/>
                          </a:lnRef>
                          <a:fillRef idx="1">
                            <a:srgbClr val="000000"/>
                          </a:fillRef>
                          <a:effectRef idx="0">
                            <a:scrgbClr r="0" g="0" b="0"/>
                          </a:effectRef>
                          <a:fontRef idx="none"/>
                        </wps:style>
                        <wps:bodyPr/>
                      </wps:wsp>
                      <wps:wsp>
                        <wps:cNvPr id="169" name="Shape 169"/>
                        <wps:cNvSpPr/>
                        <wps:spPr>
                          <a:xfrm>
                            <a:off x="0" y="259301"/>
                            <a:ext cx="30506" cy="30506"/>
                          </a:xfrm>
                          <a:custGeom>
                            <a:avLst/>
                            <a:gdLst/>
                            <a:ahLst/>
                            <a:cxnLst/>
                            <a:rect l="0" t="0" r="0" b="0"/>
                            <a:pathLst>
                              <a:path w="30506" h="30506">
                                <a:moveTo>
                                  <a:pt x="15253" y="0"/>
                                </a:moveTo>
                                <a:cubicBezTo>
                                  <a:pt x="23677" y="0"/>
                                  <a:pt x="30506" y="6828"/>
                                  <a:pt x="30506" y="15253"/>
                                </a:cubicBezTo>
                                <a:cubicBezTo>
                                  <a:pt x="30506" y="23678"/>
                                  <a:pt x="23677" y="30506"/>
                                  <a:pt x="15253" y="30506"/>
                                </a:cubicBezTo>
                                <a:cubicBezTo>
                                  <a:pt x="6829" y="30506"/>
                                  <a:pt x="0" y="23678"/>
                                  <a:pt x="0" y="15253"/>
                                </a:cubicBezTo>
                                <a:cubicBezTo>
                                  <a:pt x="0" y="6828"/>
                                  <a:pt x="6829" y="0"/>
                                  <a:pt x="15253" y="0"/>
                                </a:cubicBezTo>
                                <a:close/>
                              </a:path>
                            </a:pathLst>
                          </a:custGeom>
                          <a:ln w="7627" cap="sq">
                            <a:bevel/>
                          </a:ln>
                        </wps:spPr>
                        <wps:style>
                          <a:lnRef idx="1">
                            <a:srgbClr val="000000"/>
                          </a:lnRef>
                          <a:fillRef idx="1">
                            <a:srgbClr val="000000"/>
                          </a:fillRef>
                          <a:effectRef idx="0">
                            <a:scrgbClr r="0" g="0" b="0"/>
                          </a:effectRef>
                          <a:fontRef idx="none"/>
                        </wps:style>
                        <wps:bodyPr/>
                      </wps:wsp>
                    </wpg:wgp>
                  </a:graphicData>
                </a:graphic>
              </wp:anchor>
            </w:drawing>
          </mc:Choice>
          <mc:Fallback>
            <w:pict>
              <v:group w14:anchorId="03ABF051" id="Group 3275" o:spid="_x0000_s1026" style="position:absolute;margin-left:33.05pt;margin-top:2.35pt;width:2.4pt;height:22.8pt;z-index:251658240" coordsize="30506,289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">
                <v:shape id="Shape 159" o:spid="_x0000_s1027" style="position:absolute;width:30506;height:30506;visibility:visible;mso-wrap-style:square;v-text-anchor:top" coordsize="30506,30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" path="m15253,v8424,,15253,6828,15253,15253c30506,23677,23677,30506,15253,30506,6829,30506,,23677,,15253,,6828,6829,,15253,xe" fillcolor="black" strokeweight=".21186mm">
                  <v:stroke joinstyle="bevel" endcap="square"/>
                  <v:path arrowok="t" textboxrect="0,0,30506,30506"/>
                </v:shape>
                <v:shape id="Shape 164" o:spid="_x0000_s1028" style="position:absolute;top:129650;width:30506;height:30507;visibility:visible;mso-wrap-style:square;v-text-anchor:top" coordsize="30506,30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" path="m15253,v8424,,15253,6829,15253,15253c30506,23678,23677,30507,15253,30507,6829,30507,,23678,,15253,,6829,6829,,15253,xe" fillcolor="black" strokeweight=".21186mm">
                  <v:stroke joinstyle="bevel" endcap="square"/>
                  <v:path arrowok="t" textboxrect="0,0,30506,30507"/>
                </v:shape>
                <v:shape id="Shape 169" o:spid="_x0000_s1029" style="position:absolute;top:259301;width:30506;height:30506;visibility:visible;mso-wrap-style:square;v-text-anchor:top" coordsize="30506,30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" path="m15253,v8424,,15253,6828,15253,15253c30506,23678,23677,30506,15253,30506,6829,30506,,23678,,15253,,6828,6829,,15253,xe" fillcolor="black" strokeweight=".21186mm">
                  <v:stroke joinstyle="bevel" endcap="square"/>
                  <v:path arrowok="t" textboxrect="0,0,30506,30506"/>
                </v:shape>
                <w10:wrap type="square"/>
              </v:group>
            </w:pict>
          </mc:Fallback>
        </mc:AlternateContent>
      </w:r>
      <w:r w:rsidRPr="009E7AD2">
        <w:rPr>
          <w:sz w:val="22"/>
        </w:rPr>
        <w:t xml:space="preserve">Tietosuojailmoituksen mallipohjan ja täyttöohjeen löydät tutkimuksen </w:t>
      </w:r>
      <w:hyperlink r:id="rId16">
        <w:r w:rsidRPr="009E7AD2">
          <w:rPr>
            <w:color w:val="0000EE"/>
            <w:sz w:val="22"/>
            <w:u w:val="single" w:color="0000EE"/>
          </w:rPr>
          <w:t>tietosuojapolulta</w:t>
        </w:r>
      </w:hyperlink>
      <w:r w:rsidRPr="009E7AD2">
        <w:rPr>
          <w:sz w:val="22"/>
        </w:rPr>
        <w:t>.</w:t>
      </w:r>
    </w:p>
    <w:p w14:paraId="2293BDCD" w14:textId="77777777" w:rsidR="00F7677F" w:rsidRPr="009E7AD2" w:rsidRDefault="00453ADE" w:rsidP="001926B5">
      <w:pPr>
        <w:spacing w:after="155"/>
        <w:ind w:left="326" w:right="2772"/>
        <w:rPr>
          <w:sz w:val="22"/>
        </w:rPr>
      </w:pPr>
      <w:r w:rsidRPr="009E7AD2">
        <w:rPr>
          <w:sz w:val="22"/>
        </w:rPr>
        <w:t xml:space="preserve">Katso myös </w:t>
      </w:r>
      <w:hyperlink r:id="rId17">
        <w:r w:rsidRPr="009E7AD2">
          <w:rPr>
            <w:color w:val="0000EE"/>
            <w:sz w:val="22"/>
            <w:u w:val="single" w:color="0000EE"/>
          </w:rPr>
          <w:t>tietosuojapaketti opinnäytetöiden tekijöille ja ohjaajille</w:t>
        </w:r>
      </w:hyperlink>
      <w:r w:rsidRPr="009E7AD2">
        <w:rPr>
          <w:sz w:val="22"/>
        </w:rPr>
        <w:t xml:space="preserve">. </w:t>
      </w:r>
      <w:hyperlink r:id="rId18">
        <w:r w:rsidRPr="009E7AD2">
          <w:rPr>
            <w:color w:val="0000EE"/>
            <w:sz w:val="22"/>
            <w:u w:val="single" w:color="0000EE"/>
          </w:rPr>
          <w:t>Tietosuojaohje opinnäytetyön tekijälle</w:t>
        </w:r>
      </w:hyperlink>
      <w:r w:rsidRPr="009E7AD2">
        <w:rPr>
          <w:sz w:val="22"/>
        </w:rPr>
        <w:t xml:space="preserve"> (intra)</w:t>
      </w:r>
    </w:p>
    <w:p w14:paraId="18E51A7F" w14:textId="77777777" w:rsidR="00F7677F" w:rsidRPr="009E7AD2" w:rsidRDefault="00453ADE" w:rsidP="001926B5">
      <w:pPr>
        <w:pStyle w:val="Heading1"/>
        <w:numPr>
          <w:ilvl w:val="0"/>
          <w:numId w:val="0"/>
        </w:numPr>
        <w:ind w:left="10" w:right="0"/>
        <w:rPr>
          <w:sz w:val="22"/>
        </w:rPr>
      </w:pPr>
      <w:r w:rsidRPr="009E7AD2">
        <w:rPr>
          <w:sz w:val="22"/>
        </w:rPr>
        <w:t>Tutkimustiedote</w:t>
      </w:r>
    </w:p>
    <w:p w14:paraId="28363661" w14:textId="77777777" w:rsidR="00F7677F" w:rsidRPr="009E7AD2" w:rsidRDefault="00556C84" w:rsidP="001926B5">
      <w:pPr>
        <w:spacing w:after="203"/>
        <w:ind w:left="10" w:right="1"/>
        <w:rPr>
          <w:sz w:val="22"/>
        </w:rPr>
      </w:pPr>
      <w:hyperlink r:id="rId19" w:anchor="expander-trigger--a366303a-e4cb-40dd-ab2c-610afc0c439c">
        <w:r w:rsidR="00453ADE" w:rsidRPr="009E7AD2">
          <w:rPr>
            <w:color w:val="0000EE"/>
            <w:sz w:val="22"/>
            <w:u w:val="single" w:color="0000EE"/>
          </w:rPr>
          <w:t>Tutkimustiedotteessa</w:t>
        </w:r>
      </w:hyperlink>
      <w:r w:rsidR="00453ADE" w:rsidRPr="009E7AD2">
        <w:rPr>
          <w:sz w:val="22"/>
        </w:rPr>
        <w:t xml:space="preserve"> tutkittaville kerrotaan perustiedot hankkeesta. Olennaista on, että siitä käy selkeästi ilmi, mihin tutkittava suostuu.</w:t>
      </w:r>
    </w:p>
    <w:p w14:paraId="42D10293" w14:textId="77777777" w:rsidR="00F7677F" w:rsidRPr="009E7AD2" w:rsidRDefault="00453ADE" w:rsidP="001926B5">
      <w:pPr>
        <w:pStyle w:val="Heading1"/>
        <w:numPr>
          <w:ilvl w:val="0"/>
          <w:numId w:val="0"/>
        </w:numPr>
        <w:ind w:left="10" w:right="0"/>
        <w:rPr>
          <w:sz w:val="22"/>
        </w:rPr>
      </w:pPr>
      <w:r w:rsidRPr="009E7AD2">
        <w:rPr>
          <w:sz w:val="22"/>
        </w:rPr>
        <w:t>Tietoon perustuva suostumus</w:t>
      </w:r>
    </w:p>
    <w:p w14:paraId="675CAB59" w14:textId="77777777" w:rsidR="00F7677F" w:rsidRPr="009E7AD2" w:rsidRDefault="00453ADE" w:rsidP="001926B5">
      <w:pPr>
        <w:spacing w:after="203"/>
        <w:ind w:left="10" w:right="1"/>
        <w:rPr>
          <w:sz w:val="22"/>
        </w:rPr>
      </w:pPr>
      <w:r w:rsidRPr="009E7AD2">
        <w:rPr>
          <w:sz w:val="22"/>
        </w:rPr>
        <w:t xml:space="preserve">Ennen tutkimukseen osallistumista tutkittavilta tulee kerätä </w:t>
      </w:r>
      <w:hyperlink r:id="rId20" w:anchor="expander-trigger--a366303a-e4cb-40dd-ab2c-610afc0c439c">
        <w:r w:rsidRPr="009E7AD2">
          <w:rPr>
            <w:color w:val="0000EE"/>
            <w:sz w:val="22"/>
            <w:u w:val="single" w:color="0000EE"/>
          </w:rPr>
          <w:t>eettinen osallistumissuostumus</w:t>
        </w:r>
      </w:hyperlink>
      <w:r w:rsidRPr="009E7AD2">
        <w:rPr>
          <w:sz w:val="22"/>
        </w:rPr>
        <w:t xml:space="preserve">. Ihmistieteissä tämä voi olla allekirjoitettu suostumuslomake, sähköpostivahvistus tai esimerkiksi haastattelutallenteen alussa annettu suullinen suostumus. Jos tutkimuksessa puututaan fyysiseen koskemattomuuteen tai käsitellään </w:t>
      </w:r>
      <w:hyperlink r:id="rId21">
        <w:r w:rsidRPr="009E7AD2">
          <w:rPr>
            <w:color w:val="0000EE"/>
            <w:sz w:val="22"/>
            <w:u w:val="single" w:color="0000EE"/>
          </w:rPr>
          <w:t>arkaluonteisia henkilötietoja</w:t>
        </w:r>
      </w:hyperlink>
      <w:r w:rsidRPr="009E7AD2">
        <w:rPr>
          <w:sz w:val="22"/>
        </w:rPr>
        <w:t>, suosittelemme allekirjoitettua suostumuslomaketta. Huomaathan, että eettinen osallistumissuostumus ei ole sama asia kuin suostumus henkilötietojen käsittelyperusteena.</w:t>
      </w:r>
    </w:p>
    <w:p w14:paraId="69266F63" w14:textId="77777777" w:rsidR="00F7677F" w:rsidRPr="009E7AD2" w:rsidRDefault="00453ADE" w:rsidP="001926B5">
      <w:pPr>
        <w:pStyle w:val="Heading1"/>
        <w:numPr>
          <w:ilvl w:val="0"/>
          <w:numId w:val="0"/>
        </w:numPr>
        <w:ind w:left="10" w:right="0"/>
        <w:rPr>
          <w:sz w:val="22"/>
        </w:rPr>
      </w:pPr>
      <w:r w:rsidRPr="009E7AD2">
        <w:rPr>
          <w:sz w:val="22"/>
        </w:rPr>
        <w:t>Lupa jatkokäyttöön</w:t>
      </w:r>
    </w:p>
    <w:p w14:paraId="028C250D" w14:textId="77777777" w:rsidR="00F7677F" w:rsidRPr="009E7AD2" w:rsidRDefault="00453ADE" w:rsidP="001926B5">
      <w:pPr>
        <w:spacing w:after="203"/>
        <w:ind w:left="10" w:right="1"/>
        <w:rPr>
          <w:sz w:val="22"/>
        </w:rPr>
      </w:pPr>
      <w:r w:rsidRPr="009E7AD2">
        <w:rPr>
          <w:sz w:val="22"/>
        </w:rPr>
        <w:t xml:space="preserve">Yleensä tutkittavilta pyydetään osallistumissuostumus vain rajattua tutkimushanketta varten. Aineiston käyttö on sallittua vain rajauksen piiriin kuuluvaan tutkimukseen. Jos aineisto halutaan arkistoida ja jakaa käytettäväksi muuhun tutkimukseen, tästä on </w:t>
      </w:r>
      <w:hyperlink r:id="rId22" w:anchor="arkistoinnista-informoiminen">
        <w:r w:rsidRPr="009E7AD2">
          <w:rPr>
            <w:color w:val="0000EE"/>
            <w:sz w:val="22"/>
            <w:u w:val="single" w:color="0000EE"/>
          </w:rPr>
          <w:t>informoitava tutkittavia</w:t>
        </w:r>
      </w:hyperlink>
      <w:r w:rsidRPr="009E7AD2">
        <w:rPr>
          <w:sz w:val="22"/>
        </w:rPr>
        <w:t>.</w:t>
      </w:r>
    </w:p>
    <w:p w14:paraId="55760F68" w14:textId="77777777" w:rsidR="00F7677F" w:rsidRPr="009E7AD2" w:rsidRDefault="00453ADE" w:rsidP="001926B5">
      <w:pPr>
        <w:pStyle w:val="Heading1"/>
        <w:numPr>
          <w:ilvl w:val="0"/>
          <w:numId w:val="0"/>
        </w:numPr>
        <w:ind w:left="10" w:right="0"/>
        <w:rPr>
          <w:sz w:val="22"/>
        </w:rPr>
      </w:pPr>
      <w:r w:rsidRPr="009E7AD2">
        <w:rPr>
          <w:sz w:val="22"/>
        </w:rPr>
        <w:t>Tutkimusluvat</w:t>
      </w:r>
    </w:p>
    <w:p w14:paraId="2D39DEA7" w14:textId="77777777" w:rsidR="00F7677F" w:rsidRPr="009E7AD2" w:rsidRDefault="00453ADE" w:rsidP="001926B5">
      <w:pPr>
        <w:spacing w:after="203"/>
        <w:ind w:left="10" w:right="1"/>
        <w:rPr>
          <w:sz w:val="22"/>
        </w:rPr>
      </w:pPr>
      <w:r w:rsidRPr="009E7AD2">
        <w:rPr>
          <w:sz w:val="22"/>
        </w:rPr>
        <w:t xml:space="preserve">Jos opinnäytteesi käsittelee jonkun organisaation työntekijöitä tai opiskelijoita, tarvitset todennäköisesti tutkimusluvan kyseisestä organisaatiosta. Esimerkiksi kaupungeilla ja kunnilla on tyypillisesti omat käytännöt tutkimusluville. Lisätietoja tutkimusluvista yliopiston </w:t>
      </w:r>
      <w:hyperlink r:id="rId23">
        <w:r w:rsidRPr="009E7AD2">
          <w:rPr>
            <w:color w:val="0000EE"/>
            <w:sz w:val="22"/>
            <w:u w:val="single" w:color="0000EE"/>
          </w:rPr>
          <w:t>intrasta</w:t>
        </w:r>
      </w:hyperlink>
      <w:r w:rsidRPr="009E7AD2">
        <w:rPr>
          <w:sz w:val="22"/>
        </w:rPr>
        <w:t>.</w:t>
      </w:r>
    </w:p>
    <w:p w14:paraId="201F7D4B" w14:textId="77777777" w:rsidR="00F7677F" w:rsidRPr="009E7AD2" w:rsidRDefault="00453ADE" w:rsidP="001926B5">
      <w:pPr>
        <w:spacing w:after="35" w:line="259" w:lineRule="auto"/>
        <w:ind w:left="10"/>
        <w:rPr>
          <w:sz w:val="22"/>
        </w:rPr>
      </w:pPr>
      <w:r w:rsidRPr="009E7AD2">
        <w:rPr>
          <w:b/>
          <w:sz w:val="22"/>
        </w:rPr>
        <w:t>Miten toimin käytännössä?</w:t>
      </w:r>
    </w:p>
    <w:p w14:paraId="73166ACD" w14:textId="77777777" w:rsidR="00F7677F" w:rsidRPr="009E7AD2" w:rsidRDefault="00453ADE" w:rsidP="001926B5">
      <w:pPr>
        <w:spacing w:after="35"/>
        <w:ind w:left="10" w:right="1"/>
        <w:rPr>
          <w:sz w:val="22"/>
        </w:rPr>
      </w:pPr>
      <w:r w:rsidRPr="009E7AD2">
        <w:rPr>
          <w:sz w:val="22"/>
        </w:rPr>
        <w:t>Suunnittele ennen aineiston keräämistä, miten toteutat tutkittavien informoinnin (tutkimustiedote ja tietosuojailmoitus) ja miten pyydät heiltä osallistumissuostumuksen. Voit liittää tutkimustiedotteen esimerkiksi sähköpostiviestiin, osaksi kyselylomaketta tai antaa sen paperilomakkeena. Tyyli on vapaa, kunhan tutkittava saa olennaiset tiedot hankkeestasi.</w:t>
      </w:r>
    </w:p>
    <w:p w14:paraId="3E0C4265" w14:textId="77777777" w:rsidR="00F7677F" w:rsidRPr="009E7AD2" w:rsidRDefault="00453ADE" w:rsidP="001926B5">
      <w:pPr>
        <w:spacing w:after="35"/>
        <w:ind w:left="10" w:right="1"/>
        <w:rPr>
          <w:sz w:val="22"/>
        </w:rPr>
      </w:pPr>
      <w:r w:rsidRPr="009E7AD2">
        <w:rPr>
          <w:sz w:val="22"/>
        </w:rPr>
        <w:t>Myös osallistumissuostumuksen voit pyytää eri tavoin. Esimerkiksi haastatteluissa suostumuksen voi pyytää suullisesti haastattelun alkuun. Kyselytutkimuksessa käyttäjää voi pyytää rastittamaan valintaruudun, että on hän tutustunut tutkimustiedotteeseen. Tapoja on monia.</w:t>
      </w:r>
    </w:p>
    <w:p w14:paraId="775BE359" w14:textId="77777777" w:rsidR="00F7677F" w:rsidRPr="009E7AD2" w:rsidRDefault="00453ADE" w:rsidP="001926B5">
      <w:pPr>
        <w:spacing w:after="35"/>
        <w:ind w:left="10" w:right="1"/>
        <w:rPr>
          <w:sz w:val="22"/>
        </w:rPr>
      </w:pPr>
      <w:r w:rsidRPr="009E7AD2">
        <w:rPr>
          <w:sz w:val="22"/>
        </w:rPr>
        <w:t xml:space="preserve">Vältä suorien tunnisteiden, kuten nimien käsittelyä esimerkiksi </w:t>
      </w:r>
      <w:proofErr w:type="spellStart"/>
      <w:r w:rsidRPr="009E7AD2">
        <w:rPr>
          <w:sz w:val="22"/>
        </w:rPr>
        <w:t>pseudonymisoimalla</w:t>
      </w:r>
      <w:proofErr w:type="spellEnd"/>
      <w:r w:rsidRPr="009E7AD2">
        <w:rPr>
          <w:sz w:val="22"/>
        </w:rPr>
        <w:t xml:space="preserve"> aineisto. Poista suorat tunnisteet tai korvaa esimerkiksi nimet koodeilla, jotka vain sinä voit tarvittaessa avata.</w:t>
      </w:r>
    </w:p>
    <w:p w14:paraId="1B2DB230" w14:textId="77777777" w:rsidR="00F7677F" w:rsidRPr="009E7AD2" w:rsidRDefault="00453ADE" w:rsidP="001926B5">
      <w:pPr>
        <w:spacing w:after="179"/>
        <w:ind w:left="10" w:right="1"/>
        <w:rPr>
          <w:sz w:val="22"/>
        </w:rPr>
      </w:pPr>
      <w:r w:rsidRPr="009E7AD2">
        <w:rPr>
          <w:sz w:val="22"/>
        </w:rPr>
        <w:t>Älä käytä tunnisteellisia tietoja myöskään tiedostojen nimissä.</w:t>
      </w:r>
    </w:p>
    <w:p w14:paraId="4319A1CC" w14:textId="2C63EA2C" w:rsidR="00F7677F" w:rsidRDefault="00453ADE" w:rsidP="004C2D10">
      <w:pPr>
        <w:pStyle w:val="Heading3"/>
        <w:numPr>
          <w:ilvl w:val="0"/>
          <w:numId w:val="5"/>
        </w:numPr>
        <w:rPr>
          <w:b/>
          <w:bCs/>
        </w:rPr>
      </w:pPr>
      <w:r w:rsidRPr="004C2D10">
        <w:rPr>
          <w:b/>
          <w:bCs/>
        </w:rPr>
        <w:t>Aineiston dokumentointi ja metatiedot</w:t>
      </w:r>
    </w:p>
    <w:p w14:paraId="595F8419" w14:textId="77777777" w:rsidR="004C2D10" w:rsidRPr="004C2D10" w:rsidRDefault="004C2D10" w:rsidP="00595880">
      <w:pPr>
        <w:ind w:left="0" w:firstLine="0"/>
      </w:pPr>
    </w:p>
    <w:p w14:paraId="1F50C945" w14:textId="77777777" w:rsidR="00F7677F" w:rsidRPr="009E7AD2" w:rsidRDefault="00453ADE" w:rsidP="00CD395B">
      <w:pPr>
        <w:pStyle w:val="Heading1"/>
        <w:numPr>
          <w:ilvl w:val="0"/>
          <w:numId w:val="0"/>
        </w:numPr>
        <w:spacing w:after="154"/>
        <w:ind w:left="10" w:right="0"/>
        <w:rPr>
          <w:sz w:val="22"/>
        </w:rPr>
      </w:pPr>
      <w:r w:rsidRPr="009E7AD2">
        <w:rPr>
          <w:sz w:val="22"/>
        </w:rPr>
        <w:t>Kuvaa aineiston kerääminen ja käsittely</w:t>
      </w:r>
    </w:p>
    <w:p w14:paraId="1DB69BE9" w14:textId="77777777" w:rsidR="003A0C6A" w:rsidRDefault="00453ADE" w:rsidP="003A0C6A">
      <w:pPr>
        <w:pStyle w:val="ListParagraph"/>
        <w:numPr>
          <w:ilvl w:val="0"/>
          <w:numId w:val="6"/>
        </w:numPr>
        <w:ind w:right="1"/>
        <w:rPr>
          <w:sz w:val="22"/>
        </w:rPr>
      </w:pPr>
      <w:r w:rsidRPr="003A0C6A">
        <w:rPr>
          <w:sz w:val="22"/>
        </w:rPr>
        <w:t>Mitä aineiston tiedostot sisältävät?</w:t>
      </w:r>
    </w:p>
    <w:p w14:paraId="5DA2C758" w14:textId="77777777" w:rsidR="003A0C6A" w:rsidRDefault="003A0C6A" w:rsidP="003A0C6A">
      <w:pPr>
        <w:pStyle w:val="ListParagraph"/>
        <w:numPr>
          <w:ilvl w:val="0"/>
          <w:numId w:val="6"/>
        </w:numPr>
        <w:ind w:right="1"/>
        <w:rPr>
          <w:sz w:val="22"/>
        </w:rPr>
      </w:pPr>
      <w:r w:rsidRPr="009E7AD2">
        <w:rPr>
          <w:sz w:val="22"/>
        </w:rPr>
        <w:t>Milloin aineisto kerättiin?​</w:t>
      </w:r>
    </w:p>
    <w:p w14:paraId="0937E48F" w14:textId="77777777" w:rsidR="003A0C6A" w:rsidRDefault="00453ADE" w:rsidP="003A0C6A">
      <w:pPr>
        <w:pStyle w:val="ListParagraph"/>
        <w:numPr>
          <w:ilvl w:val="0"/>
          <w:numId w:val="6"/>
        </w:numPr>
        <w:ind w:right="1"/>
        <w:rPr>
          <w:sz w:val="22"/>
        </w:rPr>
      </w:pPr>
      <w:r w:rsidRPr="003A0C6A">
        <w:rPr>
          <w:sz w:val="22"/>
        </w:rPr>
        <w:t>Missä aineisto kerättiin?​</w:t>
      </w:r>
    </w:p>
    <w:p w14:paraId="109714F8" w14:textId="2C1C2B6D" w:rsidR="00F7677F" w:rsidRDefault="00453ADE" w:rsidP="003A0C6A">
      <w:pPr>
        <w:pStyle w:val="ListParagraph"/>
        <w:numPr>
          <w:ilvl w:val="0"/>
          <w:numId w:val="6"/>
        </w:numPr>
        <w:ind w:right="1"/>
        <w:rPr>
          <w:sz w:val="22"/>
        </w:rPr>
      </w:pPr>
      <w:r w:rsidRPr="003A0C6A">
        <w:rPr>
          <w:sz w:val="22"/>
        </w:rPr>
        <w:t>Miten aineistoa on käsitelty tai muokattu?</w:t>
      </w:r>
    </w:p>
    <w:p w14:paraId="649E3210" w14:textId="72597DCF" w:rsidR="00595880" w:rsidRPr="00595880" w:rsidRDefault="003A0C6A" w:rsidP="00595880">
      <w:pPr>
        <w:pStyle w:val="ListParagraph"/>
        <w:numPr>
          <w:ilvl w:val="0"/>
          <w:numId w:val="6"/>
        </w:numPr>
        <w:spacing w:after="155"/>
        <w:ind w:right="269"/>
        <w:rPr>
          <w:sz w:val="22"/>
        </w:rPr>
      </w:pPr>
      <w:r w:rsidRPr="003A0C6A">
        <w:rPr>
          <w:sz w:val="22"/>
        </w:rPr>
        <w:t>Taulukkomuotoisessa aineistossa sarakkeiden ja rivien otsikot, datan koodaukset (mukaan</w:t>
      </w:r>
      <w:r w:rsidR="005779E0">
        <w:rPr>
          <w:sz w:val="22"/>
        </w:rPr>
        <w:t xml:space="preserve"> </w:t>
      </w:r>
      <w:r w:rsidRPr="003A0C6A">
        <w:rPr>
          <w:sz w:val="22"/>
        </w:rPr>
        <w:t>lukien tieto puuttuvista tiedoista), mittayksiköt jne. Avaa käyttämäsi lyhenteet.</w:t>
      </w:r>
    </w:p>
    <w:p w14:paraId="3A903E34" w14:textId="1E5A273C" w:rsidR="00595880" w:rsidRPr="00595880" w:rsidRDefault="00595880" w:rsidP="00595880">
      <w:pPr>
        <w:spacing w:after="360"/>
        <w:ind w:left="0" w:right="1" w:firstLine="0"/>
        <w:rPr>
          <w:sz w:val="22"/>
        </w:rPr>
      </w:pPr>
      <w:r w:rsidRPr="00595880">
        <w:rPr>
          <w:sz w:val="22"/>
        </w:rPr>
        <w:t>Kirjoita tähän vastauksesi ja lue alla oleva ohje.</w:t>
      </w:r>
    </w:p>
    <w:p w14:paraId="255FAD1F" w14:textId="0DF99330" w:rsidR="00FE06D3" w:rsidRPr="00FE06D3" w:rsidRDefault="00FE06D3" w:rsidP="00FE06D3">
      <w:pPr>
        <w:spacing w:after="155"/>
        <w:ind w:left="0" w:right="269" w:firstLine="0"/>
        <w:rPr>
          <w:sz w:val="22"/>
        </w:rPr>
      </w:pPr>
      <w:r w:rsidRPr="00FE06D3">
        <w:rPr>
          <w:b/>
          <w:bCs/>
          <w:sz w:val="22"/>
        </w:rPr>
        <w:lastRenderedPageBreak/>
        <w:t>Ohjeet</w:t>
      </w:r>
    </w:p>
    <w:p w14:paraId="434F4A01" w14:textId="64389FBD" w:rsidR="00FE06D3" w:rsidRPr="00FE06D3" w:rsidRDefault="00FE06D3" w:rsidP="00CF6AB6">
      <w:pPr>
        <w:spacing w:after="203"/>
        <w:ind w:left="10" w:right="1" w:firstLine="0"/>
        <w:rPr>
          <w:sz w:val="22"/>
        </w:rPr>
      </w:pPr>
      <w:r w:rsidRPr="00FE06D3">
        <w:rPr>
          <w:sz w:val="22"/>
        </w:rPr>
        <w:t>Aineisto, sekä sen keräys ja käsittely pitäisi kuvata sillä tarkkuudella, että joku muu kuin sinä itse ymmärrät, mistä aineistossa on kysymys. Aineisto kannattaa kuvata niin tarkasti, että jos jostain syystä joutuisit keskeyttämään opinnäytteesi tekemisen esimerkiksi vuodeksi tai kahdeksi, voisit silti kohtuullisen turvallisin mielin jatkaa opinnäytettäsi siitä, mihin olit jäänyt.</w:t>
      </w:r>
    </w:p>
    <w:p w14:paraId="5EF7F524" w14:textId="77777777" w:rsidR="00F7677F" w:rsidRPr="009E7AD2" w:rsidRDefault="00453ADE" w:rsidP="00CD395B">
      <w:pPr>
        <w:pStyle w:val="Heading1"/>
        <w:numPr>
          <w:ilvl w:val="0"/>
          <w:numId w:val="0"/>
        </w:numPr>
        <w:ind w:left="10" w:right="0"/>
        <w:rPr>
          <w:sz w:val="22"/>
        </w:rPr>
      </w:pPr>
      <w:r w:rsidRPr="009E7AD2">
        <w:rPr>
          <w:sz w:val="22"/>
        </w:rPr>
        <w:t>Tiedostojen nimeäminen ja kansiorakenne</w:t>
      </w:r>
    </w:p>
    <w:p w14:paraId="5F9A1F65" w14:textId="68BF579C" w:rsidR="00F7677F" w:rsidRDefault="00453ADE" w:rsidP="00FE06D3">
      <w:pPr>
        <w:ind w:left="20" w:right="1"/>
        <w:rPr>
          <w:sz w:val="22"/>
        </w:rPr>
      </w:pPr>
      <w:r w:rsidRPr="009E7AD2">
        <w:rPr>
          <w:sz w:val="22"/>
        </w:rPr>
        <w:t>Kiinnitä huomiota tiedostojen ja kansioiden nimiin ja järjestykseen.</w:t>
      </w:r>
      <w:r w:rsidR="00FE06D3">
        <w:rPr>
          <w:sz w:val="22"/>
        </w:rPr>
        <w:t xml:space="preserve"> </w:t>
      </w:r>
      <w:r w:rsidRPr="009E7AD2">
        <w:rPr>
          <w:sz w:val="22"/>
        </w:rPr>
        <w:t>Fiksut tiedostojen nimet ovat lyhyitä, informatiivisia ja yhtenäisiä. Merkitse esimerkiksi päivämäärät vakioidusti</w:t>
      </w:r>
      <w:r w:rsidR="00A61D11">
        <w:rPr>
          <w:sz w:val="22"/>
        </w:rPr>
        <w:t xml:space="preserve"> </w:t>
      </w:r>
      <w:r w:rsidRPr="009E7AD2">
        <w:rPr>
          <w:sz w:val="22"/>
        </w:rPr>
        <w:t>YYYYMMDD.</w:t>
      </w:r>
    </w:p>
    <w:p w14:paraId="36B34719" w14:textId="4691C3C4" w:rsidR="00F7677F" w:rsidRDefault="00453ADE" w:rsidP="00A61D11">
      <w:pPr>
        <w:ind w:left="30" w:right="478" w:firstLine="0"/>
        <w:rPr>
          <w:sz w:val="22"/>
        </w:rPr>
      </w:pPr>
      <w:r w:rsidRPr="009E7AD2">
        <w:rPr>
          <w:sz w:val="22"/>
        </w:rPr>
        <w:t>Käytä versionumerointia tiedostojen nimissä ja pidä alkuperäinen tiedosto erillään muokkaustiedostoista. Jo yhdestä haastattelusta kertyy helposti kolme tiedostoa: alkuperäinen äänitiedosto, litteroitu tekstitiedosto ja haastattelun muistiinpanot.</w:t>
      </w:r>
    </w:p>
    <w:p w14:paraId="611004BA" w14:textId="77777777" w:rsidR="00A61D11" w:rsidRPr="009E7AD2" w:rsidRDefault="00A61D11" w:rsidP="00FE06D3">
      <w:pPr>
        <w:ind w:left="30" w:right="478"/>
        <w:rPr>
          <w:sz w:val="22"/>
        </w:rPr>
      </w:pPr>
    </w:p>
    <w:p w14:paraId="16BB6905" w14:textId="6E3C6DA6" w:rsidR="00F7677F" w:rsidRPr="009E7AD2" w:rsidRDefault="00453ADE" w:rsidP="00FE06D3">
      <w:pPr>
        <w:spacing w:after="179"/>
        <w:ind w:left="30" w:right="1"/>
        <w:rPr>
          <w:sz w:val="22"/>
        </w:rPr>
      </w:pPr>
      <w:r w:rsidRPr="009E7AD2">
        <w:rPr>
          <w:sz w:val="22"/>
        </w:rPr>
        <w:t>Älä käytä henkilöihin liittyviä tunnisteellisia tietoja tiedostojen nimissä.</w:t>
      </w:r>
    </w:p>
    <w:p w14:paraId="2EB89D9D" w14:textId="72CEE8E9" w:rsidR="00F7677F" w:rsidRPr="00DC0B47" w:rsidRDefault="00AB314B" w:rsidP="00DC0B47">
      <w:pPr>
        <w:pStyle w:val="Heading3"/>
        <w:numPr>
          <w:ilvl w:val="0"/>
          <w:numId w:val="5"/>
        </w:numPr>
        <w:rPr>
          <w:b/>
          <w:bCs/>
        </w:rPr>
      </w:pPr>
      <w:r>
        <w:rPr>
          <w:b/>
          <w:bCs/>
        </w:rPr>
        <w:t>Mihin tallennan aineistoni ja miten huolehdin tietoturvasta</w:t>
      </w:r>
      <w:r w:rsidR="004D10F3">
        <w:rPr>
          <w:b/>
          <w:bCs/>
        </w:rPr>
        <w:t>?</w:t>
      </w:r>
    </w:p>
    <w:p w14:paraId="71A51828" w14:textId="2D7A92F9" w:rsidR="00CF6AB6" w:rsidRDefault="00CF6AB6" w:rsidP="00CF6AB6">
      <w:pPr>
        <w:spacing w:after="26"/>
        <w:ind w:left="20" w:right="1"/>
        <w:rPr>
          <w:b/>
          <w:bCs/>
          <w:sz w:val="22"/>
        </w:rPr>
      </w:pPr>
    </w:p>
    <w:p w14:paraId="52652828" w14:textId="3AB64B1E" w:rsidR="00AB314B" w:rsidRPr="00AB314B" w:rsidRDefault="00AB314B" w:rsidP="00AB314B">
      <w:pPr>
        <w:spacing w:after="360"/>
        <w:ind w:left="0" w:right="1" w:firstLine="0"/>
        <w:rPr>
          <w:sz w:val="22"/>
        </w:rPr>
      </w:pPr>
      <w:r w:rsidRPr="00595880">
        <w:rPr>
          <w:sz w:val="22"/>
        </w:rPr>
        <w:t>Kirjoita tähän vastauksesi ja lue alla oleva ohje.</w:t>
      </w:r>
    </w:p>
    <w:p w14:paraId="7B835DBC" w14:textId="212A5FAC" w:rsidR="00F7677F" w:rsidRPr="00CF6AB6" w:rsidRDefault="00CF6AB6" w:rsidP="00CF6AB6">
      <w:pPr>
        <w:spacing w:after="26"/>
        <w:ind w:left="20" w:right="1"/>
        <w:rPr>
          <w:b/>
          <w:bCs/>
          <w:sz w:val="22"/>
        </w:rPr>
      </w:pPr>
      <w:r w:rsidRPr="00CF6AB6">
        <w:rPr>
          <w:b/>
          <w:bCs/>
          <w:sz w:val="22"/>
        </w:rPr>
        <w:t>Ohjeet</w:t>
      </w:r>
    </w:p>
    <w:p w14:paraId="79AFDCFF" w14:textId="77777777" w:rsidR="00F7677F" w:rsidRPr="009E7AD2" w:rsidRDefault="00453ADE" w:rsidP="00AB314B">
      <w:pPr>
        <w:spacing w:after="155"/>
        <w:ind w:left="30" w:right="1"/>
        <w:rPr>
          <w:sz w:val="22"/>
        </w:rPr>
      </w:pPr>
      <w:r w:rsidRPr="009E7AD2">
        <w:rPr>
          <w:sz w:val="22"/>
        </w:rPr>
        <w:t>Aineiston käsittelyssä käytettävät laitteet</w:t>
      </w:r>
    </w:p>
    <w:p w14:paraId="17CA8C34" w14:textId="77777777" w:rsidR="00F7677F" w:rsidRPr="00AB314B" w:rsidRDefault="00556C84" w:rsidP="00AB314B">
      <w:pPr>
        <w:pStyle w:val="ListParagraph"/>
        <w:numPr>
          <w:ilvl w:val="0"/>
          <w:numId w:val="7"/>
        </w:numPr>
        <w:spacing w:after="1"/>
        <w:ind w:right="2772"/>
        <w:rPr>
          <w:sz w:val="22"/>
        </w:rPr>
      </w:pPr>
      <w:hyperlink r:id="rId24">
        <w:r w:rsidR="00453ADE" w:rsidRPr="00AB314B">
          <w:rPr>
            <w:color w:val="0000EE"/>
            <w:sz w:val="22"/>
            <w:u w:val="single" w:color="0000EE"/>
          </w:rPr>
          <w:t>Haastattelut – sanelimet</w:t>
        </w:r>
      </w:hyperlink>
      <w:r w:rsidR="00453ADE" w:rsidRPr="00AB314B">
        <w:rPr>
          <w:sz w:val="22"/>
        </w:rPr>
        <w:t xml:space="preserve"> (intra)</w:t>
      </w:r>
    </w:p>
    <w:p w14:paraId="507174AA" w14:textId="77777777" w:rsidR="00F7677F" w:rsidRPr="00AB314B" w:rsidRDefault="00556C84" w:rsidP="00AB314B">
      <w:pPr>
        <w:pStyle w:val="ListParagraph"/>
        <w:numPr>
          <w:ilvl w:val="0"/>
          <w:numId w:val="7"/>
        </w:numPr>
        <w:ind w:right="1"/>
        <w:rPr>
          <w:sz w:val="22"/>
        </w:rPr>
      </w:pPr>
      <w:hyperlink r:id="rId25">
        <w:proofErr w:type="spellStart"/>
        <w:r w:rsidR="00453ADE" w:rsidRPr="00AB314B">
          <w:rPr>
            <w:color w:val="0000EE"/>
            <w:sz w:val="22"/>
            <w:u w:val="single" w:color="0000EE"/>
          </w:rPr>
          <w:t>Zoom</w:t>
        </w:r>
        <w:proofErr w:type="spellEnd"/>
      </w:hyperlink>
      <w:hyperlink r:id="rId26">
        <w:r w:rsidR="00453ADE" w:rsidRPr="00AB314B">
          <w:rPr>
            <w:sz w:val="22"/>
          </w:rPr>
          <w:t xml:space="preserve"> ja </w:t>
        </w:r>
      </w:hyperlink>
      <w:hyperlink r:id="rId27">
        <w:proofErr w:type="spellStart"/>
        <w:r w:rsidR="00453ADE" w:rsidRPr="00AB314B">
          <w:rPr>
            <w:color w:val="0000EE"/>
            <w:sz w:val="22"/>
            <w:u w:val="single" w:color="0000EE"/>
          </w:rPr>
          <w:t>Teams</w:t>
        </w:r>
        <w:proofErr w:type="spellEnd"/>
      </w:hyperlink>
      <w:hyperlink r:id="rId28">
        <w:r w:rsidR="00453ADE" w:rsidRPr="00AB314B">
          <w:rPr>
            <w:sz w:val="22"/>
          </w:rPr>
          <w:t xml:space="preserve"> (intra) ovat Tietosuojalain ja EU:n tietosuoja-asetuksen (GDPR) kanssa yhteensopivia </w:t>
        </w:r>
      </w:hyperlink>
      <w:hyperlink r:id="rId29">
        <w:r w:rsidR="00453ADE" w:rsidRPr="00AB314B">
          <w:rPr>
            <w:color w:val="0000EE"/>
            <w:sz w:val="22"/>
            <w:u w:val="single" w:color="0000EE"/>
          </w:rPr>
          <w:t xml:space="preserve">intranetin ohjeiden </w:t>
        </w:r>
      </w:hyperlink>
      <w:hyperlink r:id="rId30">
        <w:r w:rsidR="00453ADE" w:rsidRPr="00AB314B">
          <w:rPr>
            <w:sz w:val="22"/>
          </w:rPr>
          <w:t xml:space="preserve">mukaisesti </w:t>
        </w:r>
        <w:proofErr w:type="spellStart"/>
        <w:r w:rsidR="00453ADE" w:rsidRPr="00AB314B">
          <w:rPr>
            <w:sz w:val="22"/>
          </w:rPr>
          <w:t>tuni</w:t>
        </w:r>
        <w:proofErr w:type="spellEnd"/>
        <w:r w:rsidR="00453ADE" w:rsidRPr="00AB314B">
          <w:rPr>
            <w:sz w:val="22"/>
          </w:rPr>
          <w:t>-tunnuksilla kirjauduttaessa. Tallenne tallentuu haastattelijan tietokoneelle.</w:t>
        </w:r>
      </w:hyperlink>
    </w:p>
    <w:p w14:paraId="2B958C6E" w14:textId="77777777" w:rsidR="00F7677F" w:rsidRPr="00AB314B" w:rsidRDefault="00556C84" w:rsidP="00AB314B">
      <w:pPr>
        <w:pStyle w:val="ListParagraph"/>
        <w:numPr>
          <w:ilvl w:val="0"/>
          <w:numId w:val="7"/>
        </w:numPr>
        <w:ind w:right="1"/>
        <w:rPr>
          <w:sz w:val="22"/>
        </w:rPr>
      </w:pPr>
      <w:hyperlink r:id="rId31">
        <w:r w:rsidR="00453ADE" w:rsidRPr="00AB314B">
          <w:rPr>
            <w:color w:val="0000EE"/>
            <w:sz w:val="22"/>
            <w:u w:val="single" w:color="0000EE"/>
          </w:rPr>
          <w:t>Kannettavat tietokoneet</w:t>
        </w:r>
      </w:hyperlink>
      <w:r w:rsidR="00453ADE" w:rsidRPr="00AB314B">
        <w:rPr>
          <w:sz w:val="22"/>
        </w:rPr>
        <w:t xml:space="preserve"> (intra): Huolehdi oman tietokoneesi tietoturvasta.</w:t>
      </w:r>
    </w:p>
    <w:p w14:paraId="2339164E" w14:textId="77777777" w:rsidR="00F7677F" w:rsidRPr="00AB314B" w:rsidRDefault="00453ADE" w:rsidP="00AB314B">
      <w:pPr>
        <w:pStyle w:val="ListParagraph"/>
        <w:numPr>
          <w:ilvl w:val="0"/>
          <w:numId w:val="7"/>
        </w:numPr>
        <w:ind w:right="1"/>
        <w:rPr>
          <w:sz w:val="22"/>
        </w:rPr>
      </w:pPr>
      <w:r w:rsidRPr="00AB314B">
        <w:rPr>
          <w:sz w:val="22"/>
        </w:rPr>
        <w:t>Ulkoiset kovalevyt: Suojaa ulkoiset kovalevyt ainakin salasanalla.</w:t>
      </w:r>
    </w:p>
    <w:p w14:paraId="6019669B" w14:textId="77777777" w:rsidR="00F7677F" w:rsidRPr="00AB314B" w:rsidRDefault="00453ADE" w:rsidP="00AB314B">
      <w:pPr>
        <w:pStyle w:val="ListParagraph"/>
        <w:numPr>
          <w:ilvl w:val="0"/>
          <w:numId w:val="7"/>
        </w:numPr>
        <w:ind w:right="1"/>
        <w:rPr>
          <w:sz w:val="22"/>
        </w:rPr>
      </w:pPr>
      <w:r w:rsidRPr="00AB314B">
        <w:rPr>
          <w:sz w:val="22"/>
        </w:rPr>
        <w:t xml:space="preserve">Käytä </w:t>
      </w:r>
      <w:hyperlink r:id="rId32">
        <w:r w:rsidRPr="00AB314B">
          <w:rPr>
            <w:color w:val="0000EE"/>
            <w:sz w:val="22"/>
            <w:u w:val="single" w:color="0000EE"/>
          </w:rPr>
          <w:t>y</w:t>
        </w:r>
      </w:hyperlink>
      <w:hyperlink r:id="rId33">
        <w:r w:rsidRPr="00AB314B">
          <w:rPr>
            <w:color w:val="0000EE"/>
            <w:sz w:val="22"/>
            <w:u w:val="single" w:color="0000EE"/>
          </w:rPr>
          <w:t>liopiston tallennusratkaisuja</w:t>
        </w:r>
      </w:hyperlink>
      <w:r w:rsidRPr="00AB314B">
        <w:rPr>
          <w:sz w:val="22"/>
        </w:rPr>
        <w:t xml:space="preserve"> (intra), joita ovat OneDrive for Business, </w:t>
      </w:r>
      <w:proofErr w:type="spellStart"/>
      <w:r w:rsidRPr="00AB314B">
        <w:rPr>
          <w:sz w:val="22"/>
        </w:rPr>
        <w:t>Tuni</w:t>
      </w:r>
      <w:proofErr w:type="spellEnd"/>
      <w:r w:rsidRPr="00AB314B">
        <w:rPr>
          <w:sz w:val="22"/>
        </w:rPr>
        <w:t xml:space="preserve"> </w:t>
      </w:r>
      <w:proofErr w:type="spellStart"/>
      <w:r w:rsidRPr="00AB314B">
        <w:rPr>
          <w:sz w:val="22"/>
        </w:rPr>
        <w:t>Groups</w:t>
      </w:r>
      <w:proofErr w:type="spellEnd"/>
      <w:r w:rsidRPr="00AB314B">
        <w:rPr>
          <w:sz w:val="22"/>
        </w:rPr>
        <w:t xml:space="preserve"> ja henkilökohtainen verkkoasema.</w:t>
      </w:r>
    </w:p>
    <w:p w14:paraId="498231F5" w14:textId="2B7EB831" w:rsidR="00F7677F" w:rsidRDefault="00453ADE" w:rsidP="00AB314B">
      <w:pPr>
        <w:pStyle w:val="ListParagraph"/>
        <w:numPr>
          <w:ilvl w:val="0"/>
          <w:numId w:val="7"/>
        </w:numPr>
        <w:ind w:right="1"/>
        <w:rPr>
          <w:sz w:val="22"/>
        </w:rPr>
      </w:pPr>
      <w:r w:rsidRPr="00AB314B">
        <w:rPr>
          <w:sz w:val="22"/>
        </w:rPr>
        <w:t>Kuluttajakäyttöön tarkoitetut kaupalliset pilvipalvelut eivät aina sovellu luottamuksellisten tietojen, kuten henkilötietojen käsittelyyn.</w:t>
      </w:r>
    </w:p>
    <w:p w14:paraId="567349EE" w14:textId="77777777" w:rsidR="00701E5A" w:rsidRDefault="00701E5A" w:rsidP="00701E5A">
      <w:pPr>
        <w:pStyle w:val="Heading3"/>
        <w:ind w:left="370" w:firstLine="0"/>
        <w:rPr>
          <w:b/>
          <w:bCs/>
        </w:rPr>
      </w:pPr>
    </w:p>
    <w:p w14:paraId="376CF45C" w14:textId="1FE810A5" w:rsidR="005243C0" w:rsidRDefault="00701E5A" w:rsidP="00701E5A">
      <w:pPr>
        <w:pStyle w:val="Heading3"/>
        <w:numPr>
          <w:ilvl w:val="0"/>
          <w:numId w:val="5"/>
        </w:numPr>
        <w:rPr>
          <w:b/>
          <w:bCs/>
        </w:rPr>
      </w:pPr>
      <w:r w:rsidRPr="00701E5A">
        <w:rPr>
          <w:b/>
          <w:bCs/>
        </w:rPr>
        <w:t>Mitä teen aineistolleni opinnäytteen valmistuttua?</w:t>
      </w:r>
    </w:p>
    <w:p w14:paraId="4B17730D" w14:textId="0DFBB0C1" w:rsidR="00642C38" w:rsidRDefault="00642C38" w:rsidP="00642C38">
      <w:pPr>
        <w:ind w:left="10" w:firstLine="0"/>
        <w:rPr>
          <w:sz w:val="22"/>
        </w:rPr>
      </w:pPr>
      <w:r w:rsidRPr="00642C38">
        <w:rPr>
          <w:sz w:val="22"/>
        </w:rPr>
        <w:t>Informoi tutkittavia, jos aiot käyttää aineistoa myös opinnäytteesi jälkeen esimerkiksi jatkotutkinnossa tai teet gradun pohjalta julkaisun. Ota huomioon mahdollisen toimeksiantajan intressit aineistoon. Julkaisussa käytettävää aineistoa voi olla tarpeen säilyttää tutkimuksen todentamista varte</w:t>
      </w:r>
      <w:r w:rsidR="00B96CBD">
        <w:rPr>
          <w:sz w:val="22"/>
        </w:rPr>
        <w:t>n.</w:t>
      </w:r>
    </w:p>
    <w:p w14:paraId="0BB8869A" w14:textId="77777777" w:rsidR="00B96CBD" w:rsidRPr="00642C38" w:rsidRDefault="00B96CBD" w:rsidP="00642C38">
      <w:pPr>
        <w:ind w:left="10" w:firstLine="0"/>
        <w:rPr>
          <w:sz w:val="22"/>
        </w:rPr>
      </w:pPr>
    </w:p>
    <w:p w14:paraId="5DA5918A" w14:textId="4110750C" w:rsidR="00642C38" w:rsidRDefault="00642C38" w:rsidP="00642C38">
      <w:pPr>
        <w:ind w:left="10" w:firstLine="0"/>
        <w:rPr>
          <w:sz w:val="22"/>
        </w:rPr>
      </w:pPr>
      <w:r w:rsidRPr="00642C38">
        <w:rPr>
          <w:sz w:val="22"/>
        </w:rPr>
        <w:t xml:space="preserve">Aineiston avaamiseksi muiden käyttöön tarvitset luvan tutkittavilta. Aineiston avaaminen tehdään Arkistoissa, jollainen on esimerkiksi kysely- ja haastatteluaineistoihin erikoistunut </w:t>
      </w:r>
      <w:hyperlink r:id="rId34" w:history="1">
        <w:r w:rsidRPr="00642C38">
          <w:rPr>
            <w:rStyle w:val="Hyperlink"/>
            <w:sz w:val="22"/>
          </w:rPr>
          <w:t>Tietoarkisto</w:t>
        </w:r>
      </w:hyperlink>
      <w:r w:rsidRPr="00642C38">
        <w:rPr>
          <w:sz w:val="22"/>
        </w:rPr>
        <w:t xml:space="preserve"> (FSD).</w:t>
      </w:r>
    </w:p>
    <w:p w14:paraId="2F67228E" w14:textId="77777777" w:rsidR="00B96CBD" w:rsidRPr="00642C38" w:rsidRDefault="00B96CBD" w:rsidP="00642C38">
      <w:pPr>
        <w:ind w:left="10" w:firstLine="0"/>
        <w:rPr>
          <w:sz w:val="22"/>
        </w:rPr>
      </w:pPr>
    </w:p>
    <w:p w14:paraId="33CD307A" w14:textId="77777777" w:rsidR="00642C38" w:rsidRPr="00642C38" w:rsidRDefault="00642C38" w:rsidP="00642C38">
      <w:pPr>
        <w:ind w:left="10" w:firstLine="0"/>
        <w:rPr>
          <w:sz w:val="22"/>
        </w:rPr>
      </w:pPr>
      <w:r w:rsidRPr="00642C38">
        <w:rPr>
          <w:sz w:val="22"/>
        </w:rPr>
        <w:t xml:space="preserve">Ennakoi aineiston jatkokäyttöä tai avaamista jo ennen aineistonkeruuta. Ota yhteyttä esimerkiksi Tietoarkistoon ja kysy avaamisen mahdollisuuksista. Olennaista on </w:t>
      </w:r>
      <w:hyperlink r:id="rId35" w:history="1">
        <w:r w:rsidRPr="00642C38">
          <w:rPr>
            <w:rStyle w:val="Hyperlink"/>
            <w:sz w:val="22"/>
          </w:rPr>
          <w:t>tutkittavien informointi jatkokäytöstä.</w:t>
        </w:r>
      </w:hyperlink>
      <w:r w:rsidRPr="00642C38">
        <w:rPr>
          <w:sz w:val="22"/>
        </w:rPr>
        <w:t xml:space="preserve"> Yliopiston tallennusratkaisujen käyttöoikeus päättyy valmistumiseen – ota aineisto talteen, jos et tuhoa sitä. </w:t>
      </w:r>
    </w:p>
    <w:p w14:paraId="24D353F9" w14:textId="77777777" w:rsidR="00701E5A" w:rsidRPr="00701E5A" w:rsidRDefault="00701E5A" w:rsidP="00701E5A">
      <w:pPr>
        <w:ind w:left="20"/>
        <w:rPr>
          <w:sz w:val="22"/>
        </w:rPr>
      </w:pPr>
    </w:p>
    <w:sectPr w:rsidR="00701E5A" w:rsidRPr="00701E5A">
      <w:footerReference w:type="even" r:id="rId36"/>
      <w:footerReference w:type="default" r:id="rId37"/>
      <w:footerReference w:type="first" r:id="rId38"/>
      <w:pgSz w:w="11900" w:h="16840"/>
      <w:pgMar w:top="1447" w:right="948" w:bottom="1353" w:left="915" w:header="708" w:footer="61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83073" w14:textId="77777777" w:rsidR="00556C84" w:rsidRDefault="00556C84">
      <w:pPr>
        <w:spacing w:after="0" w:line="240" w:lineRule="auto"/>
      </w:pPr>
      <w:r>
        <w:separator/>
      </w:r>
    </w:p>
  </w:endnote>
  <w:endnote w:type="continuationSeparator" w:id="0">
    <w:p w14:paraId="222835C4" w14:textId="77777777" w:rsidR="00556C84" w:rsidRDefault="00556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0EAFF" w14:textId="77777777" w:rsidR="00F7677F" w:rsidRDefault="00453ADE">
    <w:pPr>
      <w:tabs>
        <w:tab w:val="center" w:pos="5032"/>
        <w:tab w:val="right" w:pos="10304"/>
      </w:tabs>
      <w:spacing w:after="0" w:line="259" w:lineRule="auto"/>
      <w:ind w:left="0" w:right="-267" w:firstLine="0"/>
    </w:pPr>
    <w:r>
      <w:rPr>
        <w:sz w:val="22"/>
      </w:rPr>
      <w:tab/>
    </w:r>
    <w:r w:rsidRPr="00604B73">
      <w:rPr>
        <w:lang w:val="en-GB"/>
      </w:rPr>
      <w:t xml:space="preserve">Template created using the </w:t>
    </w:r>
    <w:proofErr w:type="spellStart"/>
    <w:r w:rsidRPr="00604B73">
      <w:rPr>
        <w:lang w:val="en-GB"/>
      </w:rPr>
      <w:t>DMPTuuli</w:t>
    </w:r>
    <w:proofErr w:type="spellEnd"/>
    <w:r w:rsidRPr="00604B73">
      <w:rPr>
        <w:lang w:val="en-GB"/>
      </w:rPr>
      <w:t xml:space="preserve"> service. </w:t>
    </w:r>
    <w:proofErr w:type="spellStart"/>
    <w:r>
      <w:t>Last</w:t>
    </w:r>
    <w:proofErr w:type="spellEnd"/>
    <w:r>
      <w:t xml:space="preserve"> </w:t>
    </w:r>
    <w:proofErr w:type="spellStart"/>
    <w:r>
      <w:t>modified</w:t>
    </w:r>
    <w:proofErr w:type="spellEnd"/>
    <w:r>
      <w:t xml:space="preserve"> 19-01-2022</w:t>
    </w:r>
    <w:r>
      <w:tab/>
    </w:r>
    <w:r>
      <w:fldChar w:fldCharType="begin"/>
    </w:r>
    <w:r>
      <w:instrText xml:space="preserve"> PAGE   \* MERGEFORMAT </w:instrText>
    </w:r>
    <w:r>
      <w:fldChar w:fldCharType="separate"/>
    </w:r>
    <w:r>
      <w:t>1</w:t>
    </w:r>
    <w:r>
      <w:fldChar w:fldCharType="end"/>
    </w:r>
    <w:r>
      <w:t xml:space="preserve"> of </w:t>
    </w:r>
    <w:r w:rsidR="00556C84">
      <w:fldChar w:fldCharType="begin"/>
    </w:r>
    <w:r w:rsidR="00556C84">
      <w:instrText xml:space="preserve"> NUMPAGES   \* MERGEFORMAT </w:instrText>
    </w:r>
    <w:r w:rsidR="00556C84">
      <w:fldChar w:fldCharType="separate"/>
    </w:r>
    <w:r>
      <w:t>3</w:t>
    </w:r>
    <w:r w:rsidR="00556C8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FC94B" w14:textId="3B743670" w:rsidR="00F7677F" w:rsidRDefault="00453ADE">
    <w:pPr>
      <w:tabs>
        <w:tab w:val="center" w:pos="5032"/>
        <w:tab w:val="right" w:pos="10304"/>
      </w:tabs>
      <w:spacing w:after="0" w:line="259" w:lineRule="auto"/>
      <w:ind w:left="0" w:right="-267" w:firstLine="0"/>
    </w:pPr>
    <w:r>
      <w:tab/>
    </w:r>
    <w:r>
      <w:fldChar w:fldCharType="begin"/>
    </w:r>
    <w:r>
      <w:instrText xml:space="preserve"> PAGE   \* MERGEFORMAT </w:instrText>
    </w:r>
    <w:r>
      <w:fldChar w:fldCharType="separate"/>
    </w:r>
    <w:r>
      <w:t>1</w:t>
    </w:r>
    <w:r>
      <w:fldChar w:fldCharType="end"/>
    </w:r>
    <w:r>
      <w:t xml:space="preserve"> of </w:t>
    </w:r>
    <w:r w:rsidR="00556C84">
      <w:fldChar w:fldCharType="begin"/>
    </w:r>
    <w:r w:rsidR="00556C84">
      <w:instrText xml:space="preserve"> NUMPAGES   \* MERGEFORMAT </w:instrText>
    </w:r>
    <w:r w:rsidR="00556C84">
      <w:fldChar w:fldCharType="separate"/>
    </w:r>
    <w:r>
      <w:t>3</w:t>
    </w:r>
    <w:r w:rsidR="00556C8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8EF8A" w14:textId="77777777" w:rsidR="00F7677F" w:rsidRDefault="00453ADE">
    <w:pPr>
      <w:tabs>
        <w:tab w:val="center" w:pos="5032"/>
        <w:tab w:val="right" w:pos="10304"/>
      </w:tabs>
      <w:spacing w:after="0" w:line="259" w:lineRule="auto"/>
      <w:ind w:left="0" w:right="-267" w:firstLine="0"/>
    </w:pPr>
    <w:r>
      <w:rPr>
        <w:sz w:val="22"/>
      </w:rPr>
      <w:tab/>
    </w:r>
    <w:r w:rsidRPr="00604B73">
      <w:rPr>
        <w:lang w:val="en-GB"/>
      </w:rPr>
      <w:t xml:space="preserve">Template created using the </w:t>
    </w:r>
    <w:proofErr w:type="spellStart"/>
    <w:r w:rsidRPr="00604B73">
      <w:rPr>
        <w:lang w:val="en-GB"/>
      </w:rPr>
      <w:t>DMPTuuli</w:t>
    </w:r>
    <w:proofErr w:type="spellEnd"/>
    <w:r w:rsidRPr="00604B73">
      <w:rPr>
        <w:lang w:val="en-GB"/>
      </w:rPr>
      <w:t xml:space="preserve"> service. </w:t>
    </w:r>
    <w:proofErr w:type="spellStart"/>
    <w:r>
      <w:t>Last</w:t>
    </w:r>
    <w:proofErr w:type="spellEnd"/>
    <w:r>
      <w:t xml:space="preserve"> </w:t>
    </w:r>
    <w:proofErr w:type="spellStart"/>
    <w:r>
      <w:t>modified</w:t>
    </w:r>
    <w:proofErr w:type="spellEnd"/>
    <w:r>
      <w:t xml:space="preserve"> 19-01-2022</w:t>
    </w:r>
    <w:r>
      <w:tab/>
    </w:r>
    <w:r>
      <w:fldChar w:fldCharType="begin"/>
    </w:r>
    <w:r>
      <w:instrText xml:space="preserve"> PAGE   \* MERGEFORMAT </w:instrText>
    </w:r>
    <w:r>
      <w:fldChar w:fldCharType="separate"/>
    </w:r>
    <w:r>
      <w:t>1</w:t>
    </w:r>
    <w:r>
      <w:fldChar w:fldCharType="end"/>
    </w:r>
    <w:r>
      <w:t xml:space="preserve"> of </w:t>
    </w:r>
    <w:r w:rsidR="00556C84">
      <w:fldChar w:fldCharType="begin"/>
    </w:r>
    <w:r w:rsidR="00556C84">
      <w:instrText xml:space="preserve"> NUMPAGES   \* MERGEFORMAT </w:instrText>
    </w:r>
    <w:r w:rsidR="00556C84">
      <w:fldChar w:fldCharType="separate"/>
    </w:r>
    <w:r>
      <w:t>3</w:t>
    </w:r>
    <w:r w:rsidR="00556C8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0FAEF" w14:textId="77777777" w:rsidR="00556C84" w:rsidRDefault="00556C84">
      <w:pPr>
        <w:spacing w:after="0" w:line="240" w:lineRule="auto"/>
      </w:pPr>
      <w:r>
        <w:separator/>
      </w:r>
    </w:p>
  </w:footnote>
  <w:footnote w:type="continuationSeparator" w:id="0">
    <w:p w14:paraId="1B8D354A" w14:textId="77777777" w:rsidR="00556C84" w:rsidRDefault="00556C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4F5"/>
    <w:multiLevelType w:val="hybridMultilevel"/>
    <w:tmpl w:val="1DB4E974"/>
    <w:lvl w:ilvl="0" w:tplc="040B0001">
      <w:start w:val="1"/>
      <w:numFmt w:val="bullet"/>
      <w:lvlText w:val=""/>
      <w:lvlJc w:val="left"/>
      <w:pPr>
        <w:ind w:left="1381" w:hanging="360"/>
      </w:pPr>
      <w:rPr>
        <w:rFonts w:ascii="Symbol" w:hAnsi="Symbol" w:hint="default"/>
      </w:rPr>
    </w:lvl>
    <w:lvl w:ilvl="1" w:tplc="040B0003" w:tentative="1">
      <w:start w:val="1"/>
      <w:numFmt w:val="bullet"/>
      <w:lvlText w:val="o"/>
      <w:lvlJc w:val="left"/>
      <w:pPr>
        <w:ind w:left="2101" w:hanging="360"/>
      </w:pPr>
      <w:rPr>
        <w:rFonts w:ascii="Courier New" w:hAnsi="Courier New" w:cs="Courier New" w:hint="default"/>
      </w:rPr>
    </w:lvl>
    <w:lvl w:ilvl="2" w:tplc="040B0005" w:tentative="1">
      <w:start w:val="1"/>
      <w:numFmt w:val="bullet"/>
      <w:lvlText w:val=""/>
      <w:lvlJc w:val="left"/>
      <w:pPr>
        <w:ind w:left="2821" w:hanging="360"/>
      </w:pPr>
      <w:rPr>
        <w:rFonts w:ascii="Wingdings" w:hAnsi="Wingdings" w:hint="default"/>
      </w:rPr>
    </w:lvl>
    <w:lvl w:ilvl="3" w:tplc="040B0001" w:tentative="1">
      <w:start w:val="1"/>
      <w:numFmt w:val="bullet"/>
      <w:lvlText w:val=""/>
      <w:lvlJc w:val="left"/>
      <w:pPr>
        <w:ind w:left="3541" w:hanging="360"/>
      </w:pPr>
      <w:rPr>
        <w:rFonts w:ascii="Symbol" w:hAnsi="Symbol" w:hint="default"/>
      </w:rPr>
    </w:lvl>
    <w:lvl w:ilvl="4" w:tplc="040B0003" w:tentative="1">
      <w:start w:val="1"/>
      <w:numFmt w:val="bullet"/>
      <w:lvlText w:val="o"/>
      <w:lvlJc w:val="left"/>
      <w:pPr>
        <w:ind w:left="4261" w:hanging="360"/>
      </w:pPr>
      <w:rPr>
        <w:rFonts w:ascii="Courier New" w:hAnsi="Courier New" w:cs="Courier New" w:hint="default"/>
      </w:rPr>
    </w:lvl>
    <w:lvl w:ilvl="5" w:tplc="040B0005" w:tentative="1">
      <w:start w:val="1"/>
      <w:numFmt w:val="bullet"/>
      <w:lvlText w:val=""/>
      <w:lvlJc w:val="left"/>
      <w:pPr>
        <w:ind w:left="4981" w:hanging="360"/>
      </w:pPr>
      <w:rPr>
        <w:rFonts w:ascii="Wingdings" w:hAnsi="Wingdings" w:hint="default"/>
      </w:rPr>
    </w:lvl>
    <w:lvl w:ilvl="6" w:tplc="040B0001" w:tentative="1">
      <w:start w:val="1"/>
      <w:numFmt w:val="bullet"/>
      <w:lvlText w:val=""/>
      <w:lvlJc w:val="left"/>
      <w:pPr>
        <w:ind w:left="5701" w:hanging="360"/>
      </w:pPr>
      <w:rPr>
        <w:rFonts w:ascii="Symbol" w:hAnsi="Symbol" w:hint="default"/>
      </w:rPr>
    </w:lvl>
    <w:lvl w:ilvl="7" w:tplc="040B0003" w:tentative="1">
      <w:start w:val="1"/>
      <w:numFmt w:val="bullet"/>
      <w:lvlText w:val="o"/>
      <w:lvlJc w:val="left"/>
      <w:pPr>
        <w:ind w:left="6421" w:hanging="360"/>
      </w:pPr>
      <w:rPr>
        <w:rFonts w:ascii="Courier New" w:hAnsi="Courier New" w:cs="Courier New" w:hint="default"/>
      </w:rPr>
    </w:lvl>
    <w:lvl w:ilvl="8" w:tplc="040B0005" w:tentative="1">
      <w:start w:val="1"/>
      <w:numFmt w:val="bullet"/>
      <w:lvlText w:val=""/>
      <w:lvlJc w:val="left"/>
      <w:pPr>
        <w:ind w:left="7141" w:hanging="360"/>
      </w:pPr>
      <w:rPr>
        <w:rFonts w:ascii="Wingdings" w:hAnsi="Wingdings" w:hint="default"/>
      </w:rPr>
    </w:lvl>
  </w:abstractNum>
  <w:abstractNum w:abstractNumId="1" w15:restartNumberingAfterBreak="0">
    <w:nsid w:val="43393374"/>
    <w:multiLevelType w:val="hybridMultilevel"/>
    <w:tmpl w:val="45E608E2"/>
    <w:lvl w:ilvl="0" w:tplc="040B0001">
      <w:start w:val="1"/>
      <w:numFmt w:val="bullet"/>
      <w:lvlText w:val=""/>
      <w:lvlJc w:val="left"/>
      <w:pPr>
        <w:ind w:left="390" w:hanging="360"/>
      </w:pPr>
      <w:rPr>
        <w:rFonts w:ascii="Symbol" w:hAnsi="Symbol" w:hint="default"/>
      </w:rPr>
    </w:lvl>
    <w:lvl w:ilvl="1" w:tplc="040B0003" w:tentative="1">
      <w:start w:val="1"/>
      <w:numFmt w:val="bullet"/>
      <w:lvlText w:val="o"/>
      <w:lvlJc w:val="left"/>
      <w:pPr>
        <w:ind w:left="1110" w:hanging="360"/>
      </w:pPr>
      <w:rPr>
        <w:rFonts w:ascii="Courier New" w:hAnsi="Courier New" w:cs="Courier New" w:hint="default"/>
      </w:rPr>
    </w:lvl>
    <w:lvl w:ilvl="2" w:tplc="040B0005" w:tentative="1">
      <w:start w:val="1"/>
      <w:numFmt w:val="bullet"/>
      <w:lvlText w:val=""/>
      <w:lvlJc w:val="left"/>
      <w:pPr>
        <w:ind w:left="1830" w:hanging="360"/>
      </w:pPr>
      <w:rPr>
        <w:rFonts w:ascii="Wingdings" w:hAnsi="Wingdings" w:hint="default"/>
      </w:rPr>
    </w:lvl>
    <w:lvl w:ilvl="3" w:tplc="040B0001" w:tentative="1">
      <w:start w:val="1"/>
      <w:numFmt w:val="bullet"/>
      <w:lvlText w:val=""/>
      <w:lvlJc w:val="left"/>
      <w:pPr>
        <w:ind w:left="2550" w:hanging="360"/>
      </w:pPr>
      <w:rPr>
        <w:rFonts w:ascii="Symbol" w:hAnsi="Symbol" w:hint="default"/>
      </w:rPr>
    </w:lvl>
    <w:lvl w:ilvl="4" w:tplc="040B0003" w:tentative="1">
      <w:start w:val="1"/>
      <w:numFmt w:val="bullet"/>
      <w:lvlText w:val="o"/>
      <w:lvlJc w:val="left"/>
      <w:pPr>
        <w:ind w:left="3270" w:hanging="360"/>
      </w:pPr>
      <w:rPr>
        <w:rFonts w:ascii="Courier New" w:hAnsi="Courier New" w:cs="Courier New" w:hint="default"/>
      </w:rPr>
    </w:lvl>
    <w:lvl w:ilvl="5" w:tplc="040B0005" w:tentative="1">
      <w:start w:val="1"/>
      <w:numFmt w:val="bullet"/>
      <w:lvlText w:val=""/>
      <w:lvlJc w:val="left"/>
      <w:pPr>
        <w:ind w:left="3990" w:hanging="360"/>
      </w:pPr>
      <w:rPr>
        <w:rFonts w:ascii="Wingdings" w:hAnsi="Wingdings" w:hint="default"/>
      </w:rPr>
    </w:lvl>
    <w:lvl w:ilvl="6" w:tplc="040B0001" w:tentative="1">
      <w:start w:val="1"/>
      <w:numFmt w:val="bullet"/>
      <w:lvlText w:val=""/>
      <w:lvlJc w:val="left"/>
      <w:pPr>
        <w:ind w:left="4710" w:hanging="360"/>
      </w:pPr>
      <w:rPr>
        <w:rFonts w:ascii="Symbol" w:hAnsi="Symbol" w:hint="default"/>
      </w:rPr>
    </w:lvl>
    <w:lvl w:ilvl="7" w:tplc="040B0003" w:tentative="1">
      <w:start w:val="1"/>
      <w:numFmt w:val="bullet"/>
      <w:lvlText w:val="o"/>
      <w:lvlJc w:val="left"/>
      <w:pPr>
        <w:ind w:left="5430" w:hanging="360"/>
      </w:pPr>
      <w:rPr>
        <w:rFonts w:ascii="Courier New" w:hAnsi="Courier New" w:cs="Courier New" w:hint="default"/>
      </w:rPr>
    </w:lvl>
    <w:lvl w:ilvl="8" w:tplc="040B0005" w:tentative="1">
      <w:start w:val="1"/>
      <w:numFmt w:val="bullet"/>
      <w:lvlText w:val=""/>
      <w:lvlJc w:val="left"/>
      <w:pPr>
        <w:ind w:left="6150" w:hanging="360"/>
      </w:pPr>
      <w:rPr>
        <w:rFonts w:ascii="Wingdings" w:hAnsi="Wingdings" w:hint="default"/>
      </w:rPr>
    </w:lvl>
  </w:abstractNum>
  <w:abstractNum w:abstractNumId="2" w15:restartNumberingAfterBreak="0">
    <w:nsid w:val="4CFC147E"/>
    <w:multiLevelType w:val="hybridMultilevel"/>
    <w:tmpl w:val="D0421AF6"/>
    <w:lvl w:ilvl="0" w:tplc="040B0001">
      <w:start w:val="1"/>
      <w:numFmt w:val="bullet"/>
      <w:lvlText w:val=""/>
      <w:lvlJc w:val="left"/>
      <w:pPr>
        <w:ind w:left="370" w:hanging="360"/>
      </w:pPr>
      <w:rPr>
        <w:rFonts w:ascii="Symbol" w:hAnsi="Symbol" w:hint="default"/>
      </w:rPr>
    </w:lvl>
    <w:lvl w:ilvl="1" w:tplc="040B0003" w:tentative="1">
      <w:start w:val="1"/>
      <w:numFmt w:val="bullet"/>
      <w:lvlText w:val="o"/>
      <w:lvlJc w:val="left"/>
      <w:pPr>
        <w:ind w:left="1090" w:hanging="360"/>
      </w:pPr>
      <w:rPr>
        <w:rFonts w:ascii="Courier New" w:hAnsi="Courier New" w:cs="Courier New" w:hint="default"/>
      </w:rPr>
    </w:lvl>
    <w:lvl w:ilvl="2" w:tplc="040B0005" w:tentative="1">
      <w:start w:val="1"/>
      <w:numFmt w:val="bullet"/>
      <w:lvlText w:val=""/>
      <w:lvlJc w:val="left"/>
      <w:pPr>
        <w:ind w:left="1810" w:hanging="360"/>
      </w:pPr>
      <w:rPr>
        <w:rFonts w:ascii="Wingdings" w:hAnsi="Wingdings" w:hint="default"/>
      </w:rPr>
    </w:lvl>
    <w:lvl w:ilvl="3" w:tplc="040B0001" w:tentative="1">
      <w:start w:val="1"/>
      <w:numFmt w:val="bullet"/>
      <w:lvlText w:val=""/>
      <w:lvlJc w:val="left"/>
      <w:pPr>
        <w:ind w:left="2530" w:hanging="360"/>
      </w:pPr>
      <w:rPr>
        <w:rFonts w:ascii="Symbol" w:hAnsi="Symbol" w:hint="default"/>
      </w:rPr>
    </w:lvl>
    <w:lvl w:ilvl="4" w:tplc="040B0003" w:tentative="1">
      <w:start w:val="1"/>
      <w:numFmt w:val="bullet"/>
      <w:lvlText w:val="o"/>
      <w:lvlJc w:val="left"/>
      <w:pPr>
        <w:ind w:left="3250" w:hanging="360"/>
      </w:pPr>
      <w:rPr>
        <w:rFonts w:ascii="Courier New" w:hAnsi="Courier New" w:cs="Courier New" w:hint="default"/>
      </w:rPr>
    </w:lvl>
    <w:lvl w:ilvl="5" w:tplc="040B0005" w:tentative="1">
      <w:start w:val="1"/>
      <w:numFmt w:val="bullet"/>
      <w:lvlText w:val=""/>
      <w:lvlJc w:val="left"/>
      <w:pPr>
        <w:ind w:left="3970" w:hanging="360"/>
      </w:pPr>
      <w:rPr>
        <w:rFonts w:ascii="Wingdings" w:hAnsi="Wingdings" w:hint="default"/>
      </w:rPr>
    </w:lvl>
    <w:lvl w:ilvl="6" w:tplc="040B0001" w:tentative="1">
      <w:start w:val="1"/>
      <w:numFmt w:val="bullet"/>
      <w:lvlText w:val=""/>
      <w:lvlJc w:val="left"/>
      <w:pPr>
        <w:ind w:left="4690" w:hanging="360"/>
      </w:pPr>
      <w:rPr>
        <w:rFonts w:ascii="Symbol" w:hAnsi="Symbol" w:hint="default"/>
      </w:rPr>
    </w:lvl>
    <w:lvl w:ilvl="7" w:tplc="040B0003" w:tentative="1">
      <w:start w:val="1"/>
      <w:numFmt w:val="bullet"/>
      <w:lvlText w:val="o"/>
      <w:lvlJc w:val="left"/>
      <w:pPr>
        <w:ind w:left="5410" w:hanging="360"/>
      </w:pPr>
      <w:rPr>
        <w:rFonts w:ascii="Courier New" w:hAnsi="Courier New" w:cs="Courier New" w:hint="default"/>
      </w:rPr>
    </w:lvl>
    <w:lvl w:ilvl="8" w:tplc="040B0005" w:tentative="1">
      <w:start w:val="1"/>
      <w:numFmt w:val="bullet"/>
      <w:lvlText w:val=""/>
      <w:lvlJc w:val="left"/>
      <w:pPr>
        <w:ind w:left="6130" w:hanging="360"/>
      </w:pPr>
      <w:rPr>
        <w:rFonts w:ascii="Wingdings" w:hAnsi="Wingdings" w:hint="default"/>
      </w:rPr>
    </w:lvl>
  </w:abstractNum>
  <w:abstractNum w:abstractNumId="3" w15:restartNumberingAfterBreak="0">
    <w:nsid w:val="5DDF0DAC"/>
    <w:multiLevelType w:val="hybridMultilevel"/>
    <w:tmpl w:val="EFCE511E"/>
    <w:lvl w:ilvl="0" w:tplc="9192FE7E">
      <w:start w:val="1"/>
      <w:numFmt w:val="decimal"/>
      <w:lvlText w:val="%1."/>
      <w:lvlJc w:val="left"/>
      <w:pPr>
        <w:ind w:left="370" w:hanging="360"/>
      </w:pPr>
      <w:rPr>
        <w:rFonts w:hint="default"/>
      </w:rPr>
    </w:lvl>
    <w:lvl w:ilvl="1" w:tplc="040B0019" w:tentative="1">
      <w:start w:val="1"/>
      <w:numFmt w:val="lowerLetter"/>
      <w:lvlText w:val="%2."/>
      <w:lvlJc w:val="left"/>
      <w:pPr>
        <w:ind w:left="1090" w:hanging="360"/>
      </w:pPr>
    </w:lvl>
    <w:lvl w:ilvl="2" w:tplc="040B001B" w:tentative="1">
      <w:start w:val="1"/>
      <w:numFmt w:val="lowerRoman"/>
      <w:lvlText w:val="%3."/>
      <w:lvlJc w:val="right"/>
      <w:pPr>
        <w:ind w:left="1810" w:hanging="180"/>
      </w:pPr>
    </w:lvl>
    <w:lvl w:ilvl="3" w:tplc="040B000F" w:tentative="1">
      <w:start w:val="1"/>
      <w:numFmt w:val="decimal"/>
      <w:lvlText w:val="%4."/>
      <w:lvlJc w:val="left"/>
      <w:pPr>
        <w:ind w:left="2530" w:hanging="360"/>
      </w:pPr>
    </w:lvl>
    <w:lvl w:ilvl="4" w:tplc="040B0019" w:tentative="1">
      <w:start w:val="1"/>
      <w:numFmt w:val="lowerLetter"/>
      <w:lvlText w:val="%5."/>
      <w:lvlJc w:val="left"/>
      <w:pPr>
        <w:ind w:left="3250" w:hanging="360"/>
      </w:pPr>
    </w:lvl>
    <w:lvl w:ilvl="5" w:tplc="040B001B" w:tentative="1">
      <w:start w:val="1"/>
      <w:numFmt w:val="lowerRoman"/>
      <w:lvlText w:val="%6."/>
      <w:lvlJc w:val="right"/>
      <w:pPr>
        <w:ind w:left="3970" w:hanging="180"/>
      </w:pPr>
    </w:lvl>
    <w:lvl w:ilvl="6" w:tplc="040B000F" w:tentative="1">
      <w:start w:val="1"/>
      <w:numFmt w:val="decimal"/>
      <w:lvlText w:val="%7."/>
      <w:lvlJc w:val="left"/>
      <w:pPr>
        <w:ind w:left="4690" w:hanging="360"/>
      </w:pPr>
    </w:lvl>
    <w:lvl w:ilvl="7" w:tplc="040B0019" w:tentative="1">
      <w:start w:val="1"/>
      <w:numFmt w:val="lowerLetter"/>
      <w:lvlText w:val="%8."/>
      <w:lvlJc w:val="left"/>
      <w:pPr>
        <w:ind w:left="5410" w:hanging="360"/>
      </w:pPr>
    </w:lvl>
    <w:lvl w:ilvl="8" w:tplc="040B001B" w:tentative="1">
      <w:start w:val="1"/>
      <w:numFmt w:val="lowerRoman"/>
      <w:lvlText w:val="%9."/>
      <w:lvlJc w:val="right"/>
      <w:pPr>
        <w:ind w:left="6130" w:hanging="180"/>
      </w:pPr>
    </w:lvl>
  </w:abstractNum>
  <w:abstractNum w:abstractNumId="4" w15:restartNumberingAfterBreak="0">
    <w:nsid w:val="69D60C0F"/>
    <w:multiLevelType w:val="hybridMultilevel"/>
    <w:tmpl w:val="ECF07C8A"/>
    <w:lvl w:ilvl="0" w:tplc="92D22A6C">
      <w:start w:val="1"/>
      <w:numFmt w:val="decimal"/>
      <w:lvlText w:val="%1."/>
      <w:lvlJc w:val="left"/>
      <w:pPr>
        <w:ind w:left="1021" w:hanging="360"/>
      </w:pPr>
      <w:rPr>
        <w:rFonts w:hint="default"/>
      </w:rPr>
    </w:lvl>
    <w:lvl w:ilvl="1" w:tplc="040B0019" w:tentative="1">
      <w:start w:val="1"/>
      <w:numFmt w:val="lowerLetter"/>
      <w:lvlText w:val="%2."/>
      <w:lvlJc w:val="left"/>
      <w:pPr>
        <w:ind w:left="1741" w:hanging="360"/>
      </w:pPr>
    </w:lvl>
    <w:lvl w:ilvl="2" w:tplc="040B001B" w:tentative="1">
      <w:start w:val="1"/>
      <w:numFmt w:val="lowerRoman"/>
      <w:lvlText w:val="%3."/>
      <w:lvlJc w:val="right"/>
      <w:pPr>
        <w:ind w:left="2461" w:hanging="180"/>
      </w:pPr>
    </w:lvl>
    <w:lvl w:ilvl="3" w:tplc="040B000F" w:tentative="1">
      <w:start w:val="1"/>
      <w:numFmt w:val="decimal"/>
      <w:lvlText w:val="%4."/>
      <w:lvlJc w:val="left"/>
      <w:pPr>
        <w:ind w:left="3181" w:hanging="360"/>
      </w:pPr>
    </w:lvl>
    <w:lvl w:ilvl="4" w:tplc="040B0019" w:tentative="1">
      <w:start w:val="1"/>
      <w:numFmt w:val="lowerLetter"/>
      <w:lvlText w:val="%5."/>
      <w:lvlJc w:val="left"/>
      <w:pPr>
        <w:ind w:left="3901" w:hanging="360"/>
      </w:pPr>
    </w:lvl>
    <w:lvl w:ilvl="5" w:tplc="040B001B" w:tentative="1">
      <w:start w:val="1"/>
      <w:numFmt w:val="lowerRoman"/>
      <w:lvlText w:val="%6."/>
      <w:lvlJc w:val="right"/>
      <w:pPr>
        <w:ind w:left="4621" w:hanging="180"/>
      </w:pPr>
    </w:lvl>
    <w:lvl w:ilvl="6" w:tplc="040B000F" w:tentative="1">
      <w:start w:val="1"/>
      <w:numFmt w:val="decimal"/>
      <w:lvlText w:val="%7."/>
      <w:lvlJc w:val="left"/>
      <w:pPr>
        <w:ind w:left="5341" w:hanging="360"/>
      </w:pPr>
    </w:lvl>
    <w:lvl w:ilvl="7" w:tplc="040B0019" w:tentative="1">
      <w:start w:val="1"/>
      <w:numFmt w:val="lowerLetter"/>
      <w:lvlText w:val="%8."/>
      <w:lvlJc w:val="left"/>
      <w:pPr>
        <w:ind w:left="6061" w:hanging="360"/>
      </w:pPr>
    </w:lvl>
    <w:lvl w:ilvl="8" w:tplc="040B001B" w:tentative="1">
      <w:start w:val="1"/>
      <w:numFmt w:val="lowerRoman"/>
      <w:lvlText w:val="%9."/>
      <w:lvlJc w:val="right"/>
      <w:pPr>
        <w:ind w:left="6781" w:hanging="180"/>
      </w:pPr>
    </w:lvl>
  </w:abstractNum>
  <w:abstractNum w:abstractNumId="5" w15:restartNumberingAfterBreak="0">
    <w:nsid w:val="6E1D254B"/>
    <w:multiLevelType w:val="hybridMultilevel"/>
    <w:tmpl w:val="BDF013A2"/>
    <w:lvl w:ilvl="0" w:tplc="A9D29208">
      <w:start w:val="4"/>
      <w:numFmt w:val="decimal"/>
      <w:pStyle w:val="Heading1"/>
      <w:lvlText w:val="%1."/>
      <w:lvlJc w:val="left"/>
      <w:pPr>
        <w:ind w:left="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E14E1FEA">
      <w:start w:val="1"/>
      <w:numFmt w:val="lowerLetter"/>
      <w:lvlText w:val="%2"/>
      <w:lvlJc w:val="left"/>
      <w:pPr>
        <w:ind w:left="10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9A461F9E">
      <w:start w:val="1"/>
      <w:numFmt w:val="lowerRoman"/>
      <w:lvlText w:val="%3"/>
      <w:lvlJc w:val="left"/>
      <w:pPr>
        <w:ind w:left="18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3C24BD44">
      <w:start w:val="1"/>
      <w:numFmt w:val="decimal"/>
      <w:lvlText w:val="%4"/>
      <w:lvlJc w:val="left"/>
      <w:pPr>
        <w:ind w:left="25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565216D0">
      <w:start w:val="1"/>
      <w:numFmt w:val="lowerLetter"/>
      <w:lvlText w:val="%5"/>
      <w:lvlJc w:val="left"/>
      <w:pPr>
        <w:ind w:left="324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9B684A14">
      <w:start w:val="1"/>
      <w:numFmt w:val="lowerRoman"/>
      <w:lvlText w:val="%6"/>
      <w:lvlJc w:val="left"/>
      <w:pPr>
        <w:ind w:left="39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468AAD70">
      <w:start w:val="1"/>
      <w:numFmt w:val="decimal"/>
      <w:lvlText w:val="%7"/>
      <w:lvlJc w:val="left"/>
      <w:pPr>
        <w:ind w:left="46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4AF88582">
      <w:start w:val="1"/>
      <w:numFmt w:val="lowerLetter"/>
      <w:lvlText w:val="%8"/>
      <w:lvlJc w:val="left"/>
      <w:pPr>
        <w:ind w:left="54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4F04AF96">
      <w:start w:val="1"/>
      <w:numFmt w:val="lowerRoman"/>
      <w:lvlText w:val="%9"/>
      <w:lvlJc w:val="left"/>
      <w:pPr>
        <w:ind w:left="61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73EA3373"/>
    <w:multiLevelType w:val="hybridMultilevel"/>
    <w:tmpl w:val="FAF66C40"/>
    <w:lvl w:ilvl="0" w:tplc="040B0001">
      <w:start w:val="1"/>
      <w:numFmt w:val="bullet"/>
      <w:lvlText w:val=""/>
      <w:lvlJc w:val="left"/>
      <w:pPr>
        <w:ind w:left="370" w:hanging="360"/>
      </w:pPr>
      <w:rPr>
        <w:rFonts w:ascii="Symbol" w:hAnsi="Symbol" w:hint="default"/>
      </w:rPr>
    </w:lvl>
    <w:lvl w:ilvl="1" w:tplc="040B0003" w:tentative="1">
      <w:start w:val="1"/>
      <w:numFmt w:val="bullet"/>
      <w:lvlText w:val="o"/>
      <w:lvlJc w:val="left"/>
      <w:pPr>
        <w:ind w:left="1090" w:hanging="360"/>
      </w:pPr>
      <w:rPr>
        <w:rFonts w:ascii="Courier New" w:hAnsi="Courier New" w:cs="Courier New" w:hint="default"/>
      </w:rPr>
    </w:lvl>
    <w:lvl w:ilvl="2" w:tplc="040B0005" w:tentative="1">
      <w:start w:val="1"/>
      <w:numFmt w:val="bullet"/>
      <w:lvlText w:val=""/>
      <w:lvlJc w:val="left"/>
      <w:pPr>
        <w:ind w:left="1810" w:hanging="360"/>
      </w:pPr>
      <w:rPr>
        <w:rFonts w:ascii="Wingdings" w:hAnsi="Wingdings" w:hint="default"/>
      </w:rPr>
    </w:lvl>
    <w:lvl w:ilvl="3" w:tplc="040B0001" w:tentative="1">
      <w:start w:val="1"/>
      <w:numFmt w:val="bullet"/>
      <w:lvlText w:val=""/>
      <w:lvlJc w:val="left"/>
      <w:pPr>
        <w:ind w:left="2530" w:hanging="360"/>
      </w:pPr>
      <w:rPr>
        <w:rFonts w:ascii="Symbol" w:hAnsi="Symbol" w:hint="default"/>
      </w:rPr>
    </w:lvl>
    <w:lvl w:ilvl="4" w:tplc="040B0003" w:tentative="1">
      <w:start w:val="1"/>
      <w:numFmt w:val="bullet"/>
      <w:lvlText w:val="o"/>
      <w:lvlJc w:val="left"/>
      <w:pPr>
        <w:ind w:left="3250" w:hanging="360"/>
      </w:pPr>
      <w:rPr>
        <w:rFonts w:ascii="Courier New" w:hAnsi="Courier New" w:cs="Courier New" w:hint="default"/>
      </w:rPr>
    </w:lvl>
    <w:lvl w:ilvl="5" w:tplc="040B0005" w:tentative="1">
      <w:start w:val="1"/>
      <w:numFmt w:val="bullet"/>
      <w:lvlText w:val=""/>
      <w:lvlJc w:val="left"/>
      <w:pPr>
        <w:ind w:left="3970" w:hanging="360"/>
      </w:pPr>
      <w:rPr>
        <w:rFonts w:ascii="Wingdings" w:hAnsi="Wingdings" w:hint="default"/>
      </w:rPr>
    </w:lvl>
    <w:lvl w:ilvl="6" w:tplc="040B0001" w:tentative="1">
      <w:start w:val="1"/>
      <w:numFmt w:val="bullet"/>
      <w:lvlText w:val=""/>
      <w:lvlJc w:val="left"/>
      <w:pPr>
        <w:ind w:left="4690" w:hanging="360"/>
      </w:pPr>
      <w:rPr>
        <w:rFonts w:ascii="Symbol" w:hAnsi="Symbol" w:hint="default"/>
      </w:rPr>
    </w:lvl>
    <w:lvl w:ilvl="7" w:tplc="040B0003" w:tentative="1">
      <w:start w:val="1"/>
      <w:numFmt w:val="bullet"/>
      <w:lvlText w:val="o"/>
      <w:lvlJc w:val="left"/>
      <w:pPr>
        <w:ind w:left="5410" w:hanging="360"/>
      </w:pPr>
      <w:rPr>
        <w:rFonts w:ascii="Courier New" w:hAnsi="Courier New" w:cs="Courier New" w:hint="default"/>
      </w:rPr>
    </w:lvl>
    <w:lvl w:ilvl="8" w:tplc="040B0005" w:tentative="1">
      <w:start w:val="1"/>
      <w:numFmt w:val="bullet"/>
      <w:lvlText w:val=""/>
      <w:lvlJc w:val="left"/>
      <w:pPr>
        <w:ind w:left="613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77F"/>
    <w:rsid w:val="00001D7C"/>
    <w:rsid w:val="00127CA4"/>
    <w:rsid w:val="00141DD0"/>
    <w:rsid w:val="001926B5"/>
    <w:rsid w:val="00254E05"/>
    <w:rsid w:val="00294F56"/>
    <w:rsid w:val="002B4DBD"/>
    <w:rsid w:val="00391133"/>
    <w:rsid w:val="003A0C6A"/>
    <w:rsid w:val="00453ADE"/>
    <w:rsid w:val="004B46E2"/>
    <w:rsid w:val="004C2D10"/>
    <w:rsid w:val="004D10F3"/>
    <w:rsid w:val="005243C0"/>
    <w:rsid w:val="00556C84"/>
    <w:rsid w:val="005779E0"/>
    <w:rsid w:val="0058548C"/>
    <w:rsid w:val="00595880"/>
    <w:rsid w:val="00604B73"/>
    <w:rsid w:val="00642C38"/>
    <w:rsid w:val="006E42EC"/>
    <w:rsid w:val="00701E5A"/>
    <w:rsid w:val="00735B19"/>
    <w:rsid w:val="0082312C"/>
    <w:rsid w:val="008A4F37"/>
    <w:rsid w:val="009E7AD2"/>
    <w:rsid w:val="00A011C7"/>
    <w:rsid w:val="00A61D11"/>
    <w:rsid w:val="00A9146F"/>
    <w:rsid w:val="00AB314B"/>
    <w:rsid w:val="00AD65D5"/>
    <w:rsid w:val="00AF5570"/>
    <w:rsid w:val="00B12835"/>
    <w:rsid w:val="00B96CBD"/>
    <w:rsid w:val="00BA3FF6"/>
    <w:rsid w:val="00C85A35"/>
    <w:rsid w:val="00CD395B"/>
    <w:rsid w:val="00CF6AB6"/>
    <w:rsid w:val="00D25F18"/>
    <w:rsid w:val="00D323EA"/>
    <w:rsid w:val="00DC0B47"/>
    <w:rsid w:val="00DD548E"/>
    <w:rsid w:val="00EE4C03"/>
    <w:rsid w:val="00EF5D58"/>
    <w:rsid w:val="00F25389"/>
    <w:rsid w:val="00F7677F"/>
    <w:rsid w:val="00F925EF"/>
    <w:rsid w:val="00FE06D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CE879"/>
  <w15:docId w15:val="{0A382A55-372F-483A-9B13-054D04101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8" w:lineRule="auto"/>
      <w:ind w:left="671" w:hanging="10"/>
    </w:pPr>
    <w:rPr>
      <w:rFonts w:ascii="Calibri" w:eastAsia="Calibri" w:hAnsi="Calibri" w:cs="Calibri"/>
      <w:color w:val="000000"/>
      <w:sz w:val="16"/>
    </w:rPr>
  </w:style>
  <w:style w:type="paragraph" w:styleId="Heading1">
    <w:name w:val="heading 1"/>
    <w:next w:val="Normal"/>
    <w:link w:val="Heading1Char"/>
    <w:uiPriority w:val="9"/>
    <w:qFormat/>
    <w:pPr>
      <w:keepNext/>
      <w:keepLines/>
      <w:numPr>
        <w:numId w:val="1"/>
      </w:numPr>
      <w:spacing w:after="35"/>
      <w:ind w:left="10" w:right="7473" w:hanging="10"/>
      <w:outlineLvl w:val="0"/>
    </w:pPr>
    <w:rPr>
      <w:rFonts w:ascii="Calibri" w:eastAsia="Calibri" w:hAnsi="Calibri" w:cs="Calibri"/>
      <w:b/>
      <w:color w:val="000000"/>
      <w:sz w:val="16"/>
    </w:rPr>
  </w:style>
  <w:style w:type="paragraph" w:styleId="Heading2">
    <w:name w:val="heading 2"/>
    <w:basedOn w:val="Normal"/>
    <w:next w:val="Normal"/>
    <w:link w:val="Heading2Char"/>
    <w:uiPriority w:val="9"/>
    <w:unhideWhenUsed/>
    <w:qFormat/>
    <w:rsid w:val="00F253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E7A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A3FF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16"/>
    </w:rPr>
  </w:style>
  <w:style w:type="character" w:customStyle="1" w:styleId="Heading2Char">
    <w:name w:val="Heading 2 Char"/>
    <w:basedOn w:val="DefaultParagraphFont"/>
    <w:link w:val="Heading2"/>
    <w:uiPriority w:val="9"/>
    <w:rsid w:val="00F2538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E7AD2"/>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C85A35"/>
    <w:pPr>
      <w:ind w:left="720"/>
      <w:contextualSpacing/>
    </w:pPr>
  </w:style>
  <w:style w:type="character" w:customStyle="1" w:styleId="Heading4Char">
    <w:name w:val="Heading 4 Char"/>
    <w:basedOn w:val="DefaultParagraphFont"/>
    <w:link w:val="Heading4"/>
    <w:uiPriority w:val="9"/>
    <w:rsid w:val="00BA3FF6"/>
    <w:rPr>
      <w:rFonts w:asciiTheme="majorHAnsi" w:eastAsiaTheme="majorEastAsia" w:hAnsiTheme="majorHAnsi" w:cstheme="majorBidi"/>
      <w:i/>
      <w:iCs/>
      <w:color w:val="2F5496" w:themeColor="accent1" w:themeShade="BF"/>
      <w:sz w:val="16"/>
    </w:rPr>
  </w:style>
  <w:style w:type="paragraph" w:styleId="Header">
    <w:name w:val="header"/>
    <w:basedOn w:val="Normal"/>
    <w:link w:val="HeaderChar"/>
    <w:uiPriority w:val="99"/>
    <w:unhideWhenUsed/>
    <w:rsid w:val="00735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B19"/>
    <w:rPr>
      <w:rFonts w:ascii="Calibri" w:eastAsia="Calibri" w:hAnsi="Calibri" w:cs="Calibri"/>
      <w:color w:val="000000"/>
      <w:sz w:val="16"/>
    </w:rPr>
  </w:style>
  <w:style w:type="character" w:styleId="Hyperlink">
    <w:name w:val="Hyperlink"/>
    <w:basedOn w:val="DefaultParagraphFont"/>
    <w:uiPriority w:val="99"/>
    <w:unhideWhenUsed/>
    <w:rsid w:val="00642C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DtqSEMx-IDI" TargetMode="External"/><Relationship Id="rId13" Type="http://schemas.openxmlformats.org/officeDocument/2006/relationships/hyperlink" Target="https://www.tuni.fi/sites/default/files/2021-09/DPIA_tarvearviointi280921.docx" TargetMode="External"/><Relationship Id="rId18" Type="http://schemas.openxmlformats.org/officeDocument/2006/relationships/hyperlink" Target="https://intra.tuni.fi/handbook?page=2771" TargetMode="External"/><Relationship Id="rId26" Type="http://schemas.openxmlformats.org/officeDocument/2006/relationships/hyperlink" Target="https://intra.tuni.fi/handbook?page=20847"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tietosuoja.fi/erityisten-henkilotietoryhmien-kasittely" TargetMode="External"/><Relationship Id="rId34" Type="http://schemas.openxmlformats.org/officeDocument/2006/relationships/hyperlink" Target="https://www.fsd.tuni.fi/" TargetMode="External"/><Relationship Id="rId7" Type="http://schemas.openxmlformats.org/officeDocument/2006/relationships/hyperlink" Target="https://www.fsd.tuni.fi/" TargetMode="External"/><Relationship Id="rId12" Type="http://schemas.openxmlformats.org/officeDocument/2006/relationships/hyperlink" Target="https://www.fsd.tuni.fi/fi/palvelut/aineistonhallinta/tunnisteellisuus-ja-anonymisointi/" TargetMode="External"/><Relationship Id="rId17" Type="http://schemas.openxmlformats.org/officeDocument/2006/relationships/hyperlink" Target="https://intra.tuni.fi/content/news/23028" TargetMode="External"/><Relationship Id="rId25" Type="http://schemas.openxmlformats.org/officeDocument/2006/relationships/hyperlink" Target="https://intra.tuni.fi/handbook?page=20847" TargetMode="External"/><Relationship Id="rId33" Type="http://schemas.openxmlformats.org/officeDocument/2006/relationships/hyperlink" Target="https://www.tuni.fi/it-palvelut/kasikirja/2691/18895" TargetMode="Externa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tuni.fi/fi/tutkimus/vastuullinen-tiede/tutkimuksen-tietosuoja" TargetMode="External"/><Relationship Id="rId20" Type="http://schemas.openxmlformats.org/officeDocument/2006/relationships/hyperlink" Target="https://www.tuni.fi/fi/tutkimus/vastuullinen-tiede/tutkimuksen-tietosuoja" TargetMode="External"/><Relationship Id="rId29" Type="http://schemas.openxmlformats.org/officeDocument/2006/relationships/hyperlink" Target="https://intra.tuni.fi/handbook?page=2084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astuullinentiede.fi/fi/tutkimustyo/kaytatko-somedataa-tutkimuksessasi" TargetMode="External"/><Relationship Id="rId24" Type="http://schemas.openxmlformats.org/officeDocument/2006/relationships/hyperlink" Target="https://intra.tuni.fi/handbook/2677/2731/16353?role=staff&amp;university=uni" TargetMode="External"/><Relationship Id="rId32" Type="http://schemas.openxmlformats.org/officeDocument/2006/relationships/hyperlink" Target="https://www.tuni.fi/it-palvelut/kasikirja/2691/18895"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finlex.fi/fi/laki/ajantasa/2018/20181050" TargetMode="External"/><Relationship Id="rId23" Type="http://schemas.openxmlformats.org/officeDocument/2006/relationships/hyperlink" Target="https://intra.tuni.fi/handbook?page=2288" TargetMode="External"/><Relationship Id="rId28" Type="http://schemas.openxmlformats.org/officeDocument/2006/relationships/hyperlink" Target="https://intra.tuni.fi/handbook?page=20847" TargetMode="External"/><Relationship Id="rId36" Type="http://schemas.openxmlformats.org/officeDocument/2006/relationships/footer" Target="footer1.xml"/><Relationship Id="rId10" Type="http://schemas.openxmlformats.org/officeDocument/2006/relationships/hyperlink" Target="https://libguides.tuni.fi/tutkimusaineistojen-hallinta/creative_commons" TargetMode="External"/><Relationship Id="rId19" Type="http://schemas.openxmlformats.org/officeDocument/2006/relationships/hyperlink" Target="https://www.tuni.fi/fi/tutkimus/vastuullinen-tiede/tutkimuksen-tietosuoja" TargetMode="External"/><Relationship Id="rId31" Type="http://schemas.openxmlformats.org/officeDocument/2006/relationships/hyperlink" Target="https://intra.tuni.fi/handbook?page=21924" TargetMode="External"/><Relationship Id="rId4" Type="http://schemas.openxmlformats.org/officeDocument/2006/relationships/webSettings" Target="webSettings.xml"/><Relationship Id="rId9" Type="http://schemas.openxmlformats.org/officeDocument/2006/relationships/hyperlink" Target="http://libguides.aalto.fi/imagoa" TargetMode="External"/><Relationship Id="rId14" Type="http://schemas.openxmlformats.org/officeDocument/2006/relationships/hyperlink" Target="https://www.tuni.fi/fi/tutkimus/vastuullinen-tiede/tutkimuksen-tietosuoja" TargetMode="External"/><Relationship Id="rId22" Type="http://schemas.openxmlformats.org/officeDocument/2006/relationships/hyperlink" Target="https://www.fsd.tuni.fi/fi/palvelut/aineistonhallinta/tutkittavien-informointi/" TargetMode="External"/><Relationship Id="rId27" Type="http://schemas.openxmlformats.org/officeDocument/2006/relationships/hyperlink" Target="https://intra.tuni.fi/handbook?page=20847" TargetMode="External"/><Relationship Id="rId30" Type="http://schemas.openxmlformats.org/officeDocument/2006/relationships/hyperlink" Target="https://intra.tuni.fi/handbook?page=20847" TargetMode="External"/><Relationship Id="rId35" Type="http://schemas.openxmlformats.org/officeDocument/2006/relationships/hyperlink" Target="https://www.fsd.tuni.fi/fi/palvelut/aineistonhallinta/tutkittavien-informoin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4</Pages>
  <Words>1494</Words>
  <Characters>12107</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Opiskelijan aineistonhallinnan ohjeet</vt:lpstr>
    </vt:vector>
  </TitlesOfParts>
  <Company/>
  <LinksUpToDate>false</LinksUpToDate>
  <CharactersWithSpaces>13574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Opiskelijan aineistonhallinnan ohjeet</dc:title>
  <dc:subject/>
  <dc:creator>Jari Friman (TAU)</dc:creator>
  <cp:keywords/>
  <cp:lastModifiedBy>Jari Friman (TAU)</cp:lastModifiedBy>
  <cp:revision>44</cp:revision>
  <dcterms:created xsi:type="dcterms:W3CDTF">2022-01-24T09:01:00Z</dcterms:created>
  <dcterms:modified xsi:type="dcterms:W3CDTF">2022-03-07T08:34:00Z</dcterms:modified>
</cp:coreProperties>
</file>